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DE48074" w14:textId="57C4B8A3" w:rsidR="009E1F53" w:rsidRDefault="00EE6DFB" w:rsidP="00411640">
      <w:pPr>
        <w:suppressAutoHyphens w:val="0"/>
        <w:spacing w:line="256" w:lineRule="auto"/>
        <w:jc w:val="center"/>
        <w:rPr>
          <w:rFonts w:ascii="Century Gothic" w:hAnsi="Century Gothic" w:cs="Century Gothic"/>
          <w:b/>
          <w:bCs/>
          <w:kern w:val="2"/>
          <w:sz w:val="28"/>
          <w:szCs w:val="28"/>
        </w:rPr>
      </w:pPr>
      <w:r>
        <w:rPr>
          <w:rFonts w:ascii="Century Gothic" w:hAnsi="Century Gothic" w:cs="Century Gothic"/>
          <w:b/>
          <w:bCs/>
          <w:kern w:val="2"/>
          <w:sz w:val="28"/>
          <w:szCs w:val="28"/>
        </w:rPr>
        <w:t>Di</w:t>
      </w:r>
      <w:r w:rsidR="00D775EB">
        <w:rPr>
          <w:rFonts w:ascii="Century Gothic" w:hAnsi="Century Gothic" w:cs="Century Gothic"/>
          <w:b/>
          <w:bCs/>
          <w:kern w:val="2"/>
          <w:sz w:val="28"/>
          <w:szCs w:val="28"/>
        </w:rPr>
        <w:t xml:space="preserve">abete </w:t>
      </w:r>
      <w:r w:rsidR="00E75F1D">
        <w:rPr>
          <w:rFonts w:ascii="Century Gothic" w:hAnsi="Century Gothic" w:cs="Century Gothic"/>
          <w:b/>
          <w:bCs/>
          <w:kern w:val="2"/>
          <w:sz w:val="28"/>
          <w:szCs w:val="28"/>
        </w:rPr>
        <w:t xml:space="preserve">di tipo </w:t>
      </w:r>
      <w:r w:rsidR="00D775EB">
        <w:rPr>
          <w:rFonts w:ascii="Century Gothic" w:hAnsi="Century Gothic" w:cs="Century Gothic"/>
          <w:b/>
          <w:bCs/>
          <w:kern w:val="2"/>
          <w:sz w:val="28"/>
          <w:szCs w:val="28"/>
        </w:rPr>
        <w:t xml:space="preserve">2. L’emocromo </w:t>
      </w:r>
      <w:r w:rsidR="00261A18">
        <w:rPr>
          <w:rFonts w:ascii="Century Gothic" w:hAnsi="Century Gothic" w:cs="Century Gothic"/>
          <w:b/>
          <w:bCs/>
          <w:kern w:val="2"/>
          <w:sz w:val="28"/>
          <w:szCs w:val="28"/>
        </w:rPr>
        <w:t>e un algoritmo</w:t>
      </w:r>
      <w:r>
        <w:rPr>
          <w:rFonts w:ascii="Century Gothic" w:hAnsi="Century Gothic" w:cs="Century Gothic"/>
          <w:b/>
          <w:bCs/>
          <w:kern w:val="2"/>
          <w:sz w:val="28"/>
          <w:szCs w:val="28"/>
        </w:rPr>
        <w:t xml:space="preserve"> rivela</w:t>
      </w:r>
      <w:r w:rsidR="00261A18">
        <w:rPr>
          <w:rFonts w:ascii="Century Gothic" w:hAnsi="Century Gothic" w:cs="Century Gothic"/>
          <w:b/>
          <w:bCs/>
          <w:kern w:val="2"/>
          <w:sz w:val="28"/>
          <w:szCs w:val="28"/>
        </w:rPr>
        <w:t xml:space="preserve">no </w:t>
      </w:r>
      <w:r>
        <w:rPr>
          <w:rFonts w:ascii="Century Gothic" w:hAnsi="Century Gothic" w:cs="Century Gothic"/>
          <w:b/>
          <w:bCs/>
          <w:kern w:val="2"/>
          <w:sz w:val="28"/>
          <w:szCs w:val="28"/>
        </w:rPr>
        <w:t xml:space="preserve">i rischi </w:t>
      </w:r>
      <w:r w:rsidR="00D775EB">
        <w:rPr>
          <w:rFonts w:ascii="Century Gothic" w:hAnsi="Century Gothic" w:cs="Century Gothic"/>
          <w:b/>
          <w:bCs/>
          <w:kern w:val="2"/>
          <w:sz w:val="28"/>
          <w:szCs w:val="28"/>
        </w:rPr>
        <w:t>per cuore e reni</w:t>
      </w:r>
    </w:p>
    <w:p w14:paraId="7A5C011B" w14:textId="1CAEC42C" w:rsidR="0005031B" w:rsidRDefault="0005031B" w:rsidP="00411640">
      <w:pPr>
        <w:suppressAutoHyphens w:val="0"/>
        <w:spacing w:line="256" w:lineRule="auto"/>
        <w:jc w:val="center"/>
        <w:rPr>
          <w:rFonts w:ascii="Century Gothic" w:hAnsi="Century Gothic" w:cs="Century Gothic"/>
          <w:b/>
          <w:bCs/>
          <w:kern w:val="2"/>
          <w:sz w:val="28"/>
          <w:szCs w:val="28"/>
        </w:rPr>
      </w:pPr>
    </w:p>
    <w:p w14:paraId="6AF1D865" w14:textId="7E10F62F" w:rsidR="000660BF" w:rsidRPr="00522EE0" w:rsidRDefault="00696531" w:rsidP="00522EE0">
      <w:pPr>
        <w:suppressAutoHyphens w:val="0"/>
        <w:spacing w:line="256" w:lineRule="auto"/>
        <w:jc w:val="center"/>
        <w:rPr>
          <w:rFonts w:ascii="Century Gothic" w:hAnsi="Century Gothic" w:cs="Century Gothic"/>
          <w:b/>
          <w:bCs/>
          <w:kern w:val="2"/>
          <w:sz w:val="28"/>
          <w:szCs w:val="28"/>
        </w:rPr>
      </w:pPr>
      <w:r>
        <w:rPr>
          <w:rFonts w:ascii="Century Gothic" w:hAnsi="Century Gothic" w:cs="Century Gothic"/>
          <w:b/>
          <w:bCs/>
          <w:kern w:val="2"/>
          <w:sz w:val="28"/>
          <w:szCs w:val="28"/>
        </w:rPr>
        <w:t>I</w:t>
      </w:r>
      <w:r w:rsidR="00261A18">
        <w:rPr>
          <w:rFonts w:ascii="Century Gothic" w:hAnsi="Century Gothic" w:cs="Century Gothic"/>
          <w:b/>
          <w:bCs/>
          <w:kern w:val="2"/>
          <w:sz w:val="28"/>
          <w:szCs w:val="28"/>
        </w:rPr>
        <w:t xml:space="preserve"> pazienti </w:t>
      </w:r>
      <w:r w:rsidR="0061521E">
        <w:rPr>
          <w:rFonts w:ascii="Century Gothic" w:hAnsi="Century Gothic" w:cs="Century Gothic"/>
          <w:b/>
          <w:bCs/>
          <w:kern w:val="2"/>
          <w:sz w:val="28"/>
          <w:szCs w:val="28"/>
        </w:rPr>
        <w:t xml:space="preserve">possono essere </w:t>
      </w:r>
      <w:r w:rsidR="00261A18">
        <w:rPr>
          <w:rFonts w:ascii="Century Gothic" w:hAnsi="Century Gothic" w:cs="Century Gothic"/>
          <w:b/>
          <w:bCs/>
          <w:kern w:val="2"/>
          <w:sz w:val="28"/>
          <w:szCs w:val="28"/>
        </w:rPr>
        <w:t>messi al sicuro da terapie mirate</w:t>
      </w:r>
      <w:bookmarkStart w:id="0" w:name="_GoBack"/>
      <w:bookmarkEnd w:id="0"/>
      <w:r>
        <w:rPr>
          <w:rFonts w:ascii="Century Gothic" w:hAnsi="Century Gothic" w:cs="Century Gothic"/>
          <w:b/>
          <w:bCs/>
          <w:kern w:val="2"/>
          <w:sz w:val="28"/>
          <w:szCs w:val="28"/>
        </w:rPr>
        <w:t xml:space="preserve"> p</w:t>
      </w:r>
      <w:r w:rsidRPr="00696531">
        <w:rPr>
          <w:rFonts w:ascii="Century Gothic" w:hAnsi="Century Gothic" w:cs="Century Gothic"/>
          <w:b/>
          <w:bCs/>
          <w:kern w:val="2"/>
          <w:sz w:val="28"/>
          <w:szCs w:val="28"/>
        </w:rPr>
        <w:t>rima dell’insorgere delle complicanze</w:t>
      </w:r>
      <w:r w:rsidR="00261A18">
        <w:rPr>
          <w:rFonts w:ascii="Century Gothic" w:hAnsi="Century Gothic" w:cs="Century Gothic"/>
          <w:b/>
          <w:bCs/>
          <w:kern w:val="2"/>
          <w:sz w:val="28"/>
          <w:szCs w:val="28"/>
        </w:rPr>
        <w:t xml:space="preserve"> </w:t>
      </w:r>
    </w:p>
    <w:p w14:paraId="17E4F27F" w14:textId="77777777" w:rsidR="001539EE" w:rsidRPr="00D02802" w:rsidRDefault="001539EE" w:rsidP="00B6215F">
      <w:pPr>
        <w:jc w:val="center"/>
        <w:rPr>
          <w:b/>
        </w:rPr>
      </w:pPr>
    </w:p>
    <w:p w14:paraId="63974203" w14:textId="77777777" w:rsidR="00E57256" w:rsidRPr="00D02802" w:rsidRDefault="00E57256" w:rsidP="00E57256">
      <w:pPr>
        <w:rPr>
          <w:b/>
        </w:rPr>
      </w:pPr>
    </w:p>
    <w:p w14:paraId="3CCC54B7" w14:textId="77777777" w:rsidR="00E57256" w:rsidRDefault="00E57256" w:rsidP="00E57256"/>
    <w:p w14:paraId="36082373" w14:textId="3F502625" w:rsidR="00541E00" w:rsidRDefault="00E57256" w:rsidP="00541E00">
      <w:pPr>
        <w:ind w:right="-35"/>
        <w:jc w:val="both"/>
        <w:rPr>
          <w:rFonts w:ascii="Century Gothic" w:hAnsi="Century Gothic" w:cs="Century Gothic"/>
          <w:kern w:val="2"/>
          <w:sz w:val="24"/>
          <w:szCs w:val="24"/>
        </w:rPr>
      </w:pPr>
      <w:r w:rsidRPr="009D4DB4">
        <w:rPr>
          <w:rFonts w:ascii="Century Gothic" w:hAnsi="Century Gothic" w:cs="Century Gothic"/>
          <w:kern w:val="2"/>
          <w:sz w:val="24"/>
          <w:szCs w:val="24"/>
        </w:rPr>
        <w:t>Verona,</w:t>
      </w:r>
      <w:r w:rsidR="008C5476">
        <w:rPr>
          <w:rFonts w:ascii="Century Gothic" w:hAnsi="Century Gothic" w:cs="Century Gothic"/>
          <w:kern w:val="2"/>
          <w:sz w:val="24"/>
          <w:szCs w:val="24"/>
        </w:rPr>
        <w:t xml:space="preserve"> </w:t>
      </w:r>
      <w:r w:rsidR="00B120A6">
        <w:rPr>
          <w:rFonts w:ascii="Century Gothic" w:hAnsi="Century Gothic" w:cs="Century Gothic"/>
          <w:kern w:val="2"/>
          <w:sz w:val="24"/>
          <w:szCs w:val="24"/>
        </w:rPr>
        <w:t>16</w:t>
      </w:r>
      <w:r w:rsidR="00E214BC">
        <w:rPr>
          <w:rFonts w:ascii="Century Gothic" w:hAnsi="Century Gothic" w:cs="Century Gothic"/>
          <w:kern w:val="2"/>
          <w:sz w:val="24"/>
          <w:szCs w:val="24"/>
        </w:rPr>
        <w:t xml:space="preserve"> settembre</w:t>
      </w:r>
      <w:r w:rsidR="00E96F6B">
        <w:rPr>
          <w:rFonts w:ascii="Century Gothic" w:hAnsi="Century Gothic" w:cs="Century Gothic"/>
          <w:kern w:val="2"/>
          <w:sz w:val="24"/>
          <w:szCs w:val="24"/>
        </w:rPr>
        <w:t xml:space="preserve"> </w:t>
      </w:r>
      <w:r w:rsidR="002A76EF">
        <w:rPr>
          <w:rFonts w:ascii="Century Gothic" w:hAnsi="Century Gothic" w:cs="Century Gothic"/>
          <w:kern w:val="2"/>
          <w:sz w:val="24"/>
          <w:szCs w:val="24"/>
        </w:rPr>
        <w:t>2026</w:t>
      </w:r>
    </w:p>
    <w:p w14:paraId="6FF836A6" w14:textId="40701FCF" w:rsidR="006837B6" w:rsidRDefault="006837B6" w:rsidP="00541E00">
      <w:pPr>
        <w:ind w:right="-35"/>
        <w:jc w:val="both"/>
        <w:rPr>
          <w:rFonts w:ascii="Century Gothic" w:hAnsi="Century Gothic" w:cs="Century Gothic"/>
          <w:kern w:val="2"/>
          <w:sz w:val="24"/>
          <w:szCs w:val="24"/>
        </w:rPr>
      </w:pPr>
    </w:p>
    <w:p w14:paraId="3C74957D" w14:textId="651C9BB6" w:rsidR="00137A74" w:rsidRDefault="00137A74" w:rsidP="00137A74">
      <w:pPr>
        <w:ind w:right="-35"/>
        <w:jc w:val="both"/>
        <w:rPr>
          <w:rFonts w:ascii="Century Gothic" w:hAnsi="Century Gothic" w:cs="Century Gothic"/>
          <w:color w:val="000000" w:themeColor="text1"/>
          <w:kern w:val="2"/>
          <w:sz w:val="24"/>
          <w:szCs w:val="24"/>
        </w:rPr>
      </w:pPr>
      <w:r w:rsidRPr="00D775EB">
        <w:rPr>
          <w:rFonts w:ascii="Century Gothic" w:hAnsi="Century Gothic" w:cs="Century Gothic"/>
          <w:color w:val="000000" w:themeColor="text1"/>
          <w:kern w:val="2"/>
          <w:sz w:val="24"/>
          <w:szCs w:val="24"/>
        </w:rPr>
        <w:t xml:space="preserve">Il cuore e i reni sono due organi sui quali il diabete tipo 2 può provocare danni irreversibili e anche letali. Un rischio clinico che </w:t>
      </w:r>
      <w:r w:rsidR="006F7608">
        <w:rPr>
          <w:rFonts w:ascii="Century Gothic" w:hAnsi="Century Gothic" w:cs="Century Gothic"/>
          <w:color w:val="000000" w:themeColor="text1"/>
          <w:kern w:val="2"/>
          <w:sz w:val="24"/>
          <w:szCs w:val="24"/>
        </w:rPr>
        <w:t xml:space="preserve">oggi </w:t>
      </w:r>
      <w:r w:rsidRPr="00D775EB">
        <w:rPr>
          <w:rFonts w:ascii="Century Gothic" w:hAnsi="Century Gothic" w:cs="Century Gothic"/>
          <w:color w:val="000000" w:themeColor="text1"/>
          <w:kern w:val="2"/>
          <w:sz w:val="24"/>
          <w:szCs w:val="24"/>
        </w:rPr>
        <w:t>la Diabetologia può prevedere e prevenire grazie a</w:t>
      </w:r>
      <w:r w:rsidR="006F7608">
        <w:rPr>
          <w:rFonts w:ascii="Century Gothic" w:hAnsi="Century Gothic" w:cs="Century Gothic"/>
          <w:color w:val="000000" w:themeColor="text1"/>
          <w:kern w:val="2"/>
          <w:sz w:val="24"/>
          <w:szCs w:val="24"/>
        </w:rPr>
        <w:t>l più semplice</w:t>
      </w:r>
      <w:r w:rsidRPr="00D775EB">
        <w:rPr>
          <w:rFonts w:ascii="Century Gothic" w:hAnsi="Century Gothic" w:cs="Century Gothic"/>
          <w:color w:val="000000" w:themeColor="text1"/>
          <w:kern w:val="2"/>
          <w:sz w:val="24"/>
          <w:szCs w:val="24"/>
        </w:rPr>
        <w:t xml:space="preserve"> esame del sangue</w:t>
      </w:r>
      <w:r w:rsidR="006F7608">
        <w:rPr>
          <w:rFonts w:ascii="Century Gothic" w:hAnsi="Century Gothic" w:cs="Century Gothic"/>
          <w:color w:val="000000" w:themeColor="text1"/>
          <w:kern w:val="2"/>
          <w:sz w:val="24"/>
          <w:szCs w:val="24"/>
        </w:rPr>
        <w:t>:</w:t>
      </w:r>
      <w:r w:rsidRPr="00D775EB">
        <w:rPr>
          <w:rFonts w:ascii="Century Gothic" w:hAnsi="Century Gothic" w:cs="Century Gothic"/>
          <w:color w:val="000000" w:themeColor="text1"/>
          <w:kern w:val="2"/>
          <w:sz w:val="24"/>
          <w:szCs w:val="24"/>
        </w:rPr>
        <w:t xml:space="preserve"> l’emocromo.</w:t>
      </w:r>
    </w:p>
    <w:p w14:paraId="158E7DCC" w14:textId="167CA512" w:rsidR="00F250E1" w:rsidRDefault="00F250E1" w:rsidP="00137A74">
      <w:pPr>
        <w:ind w:right="-35"/>
        <w:jc w:val="both"/>
        <w:rPr>
          <w:rFonts w:ascii="Century Gothic" w:hAnsi="Century Gothic" w:cs="Century Gothic"/>
          <w:color w:val="000000" w:themeColor="text1"/>
          <w:kern w:val="2"/>
          <w:sz w:val="24"/>
          <w:szCs w:val="24"/>
        </w:rPr>
      </w:pPr>
    </w:p>
    <w:p w14:paraId="14388CC2" w14:textId="77777777" w:rsidR="00F250E1" w:rsidRPr="00F250E1" w:rsidRDefault="00F250E1" w:rsidP="00F250E1">
      <w:pPr>
        <w:ind w:right="-35"/>
        <w:jc w:val="both"/>
        <w:rPr>
          <w:rFonts w:ascii="Century Gothic" w:hAnsi="Century Gothic" w:cs="Century Gothic"/>
          <w:color w:val="000000" w:themeColor="text1"/>
          <w:kern w:val="2"/>
          <w:sz w:val="24"/>
          <w:szCs w:val="24"/>
        </w:rPr>
      </w:pPr>
      <w:r w:rsidRPr="00F250E1">
        <w:rPr>
          <w:rFonts w:ascii="Century Gothic" w:hAnsi="Century Gothic" w:cs="Century Gothic"/>
          <w:b/>
          <w:color w:val="000000" w:themeColor="text1"/>
          <w:kern w:val="2"/>
          <w:sz w:val="24"/>
          <w:szCs w:val="24"/>
        </w:rPr>
        <w:t xml:space="preserve">L’emocromo svela i profili più a rischio. </w:t>
      </w:r>
      <w:r w:rsidRPr="00F250E1">
        <w:rPr>
          <w:rFonts w:ascii="Century Gothic" w:hAnsi="Century Gothic" w:cs="Century Gothic"/>
          <w:color w:val="000000" w:themeColor="text1"/>
          <w:kern w:val="2"/>
          <w:sz w:val="24"/>
          <w:szCs w:val="24"/>
        </w:rPr>
        <w:t>La formula leucocitaria (che nell’emocromo fornisce il numero delle diverse cellule immunitarie circolanti: neutrofili, linfociti, monociti) “letta” con uno speciale algoritmo individua quattro diversi profili di malattia ("</w:t>
      </w:r>
      <w:proofErr w:type="spellStart"/>
      <w:r w:rsidRPr="00F250E1">
        <w:rPr>
          <w:rFonts w:ascii="Century Gothic" w:hAnsi="Century Gothic" w:cs="Century Gothic"/>
          <w:color w:val="000000" w:themeColor="text1"/>
          <w:kern w:val="2"/>
          <w:sz w:val="24"/>
          <w:szCs w:val="24"/>
        </w:rPr>
        <w:t>endotipi</w:t>
      </w:r>
      <w:proofErr w:type="spellEnd"/>
      <w:r w:rsidRPr="00F250E1">
        <w:rPr>
          <w:rFonts w:ascii="Century Gothic" w:hAnsi="Century Gothic" w:cs="Century Gothic"/>
          <w:color w:val="000000" w:themeColor="text1"/>
          <w:kern w:val="2"/>
          <w:sz w:val="24"/>
          <w:szCs w:val="24"/>
        </w:rPr>
        <w:t xml:space="preserve">"), riproducibili e stabili nel tempo: una forma infiammatoria severa (SIND), una infiammatoria lieve (MIND), una forma ricca di linfociti (LYRD) e una carente di linfociti (LYDD). I profili a maggior rischio (SIND e LYDD) hanno un sistema immunitario innato </w:t>
      </w:r>
      <w:proofErr w:type="spellStart"/>
      <w:r w:rsidRPr="00F250E1">
        <w:rPr>
          <w:rFonts w:ascii="Century Gothic" w:hAnsi="Century Gothic" w:cs="Century Gothic"/>
          <w:color w:val="000000" w:themeColor="text1"/>
          <w:kern w:val="2"/>
          <w:sz w:val="24"/>
          <w:szCs w:val="24"/>
        </w:rPr>
        <w:t>iperattivato</w:t>
      </w:r>
      <w:proofErr w:type="spellEnd"/>
      <w:r w:rsidRPr="00F250E1">
        <w:rPr>
          <w:rFonts w:ascii="Century Gothic" w:hAnsi="Century Gothic" w:cs="Century Gothic"/>
          <w:color w:val="000000" w:themeColor="text1"/>
          <w:kern w:val="2"/>
          <w:sz w:val="24"/>
          <w:szCs w:val="24"/>
        </w:rPr>
        <w:t xml:space="preserve">, mentre quello adattativo è </w:t>
      </w:r>
      <w:proofErr w:type="spellStart"/>
      <w:r w:rsidRPr="00F250E1">
        <w:rPr>
          <w:rFonts w:ascii="Century Gothic" w:hAnsi="Century Gothic" w:cs="Century Gothic"/>
          <w:color w:val="000000" w:themeColor="text1"/>
          <w:kern w:val="2"/>
          <w:sz w:val="24"/>
          <w:szCs w:val="24"/>
        </w:rPr>
        <w:t>disregolato</w:t>
      </w:r>
      <w:proofErr w:type="spellEnd"/>
      <w:r w:rsidRPr="00F250E1">
        <w:rPr>
          <w:rFonts w:ascii="Century Gothic" w:hAnsi="Century Gothic" w:cs="Century Gothic"/>
          <w:color w:val="000000" w:themeColor="text1"/>
          <w:kern w:val="2"/>
          <w:sz w:val="24"/>
          <w:szCs w:val="24"/>
        </w:rPr>
        <w:t xml:space="preserve">: un doppio squilibrio che negli anni può favorire il danno vascolare e renale. </w:t>
      </w:r>
    </w:p>
    <w:p w14:paraId="6B79BAFE" w14:textId="77777777" w:rsidR="0061521E" w:rsidRDefault="00137A74" w:rsidP="0061521E">
      <w:pPr>
        <w:ind w:right="-35"/>
        <w:jc w:val="both"/>
        <w:rPr>
          <w:rFonts w:ascii="Century Gothic" w:hAnsi="Century Gothic" w:cs="Century Gothic"/>
          <w:color w:val="000000" w:themeColor="text1"/>
          <w:kern w:val="2"/>
          <w:sz w:val="24"/>
          <w:szCs w:val="24"/>
        </w:rPr>
      </w:pPr>
      <w:r w:rsidRPr="00D775EB">
        <w:rPr>
          <w:rFonts w:ascii="Century Gothic" w:hAnsi="Century Gothic" w:cs="Century Gothic"/>
          <w:color w:val="000000" w:themeColor="text1"/>
          <w:kern w:val="2"/>
          <w:sz w:val="24"/>
          <w:szCs w:val="24"/>
        </w:rPr>
        <w:t> </w:t>
      </w:r>
    </w:p>
    <w:p w14:paraId="047D3643" w14:textId="59236B29" w:rsidR="0061521E" w:rsidRDefault="0061521E" w:rsidP="0061521E">
      <w:pPr>
        <w:ind w:right="-35"/>
        <w:jc w:val="both"/>
        <w:rPr>
          <w:rFonts w:ascii="Century Gothic" w:hAnsi="Century Gothic" w:cs="Century Gothic"/>
          <w:kern w:val="2"/>
          <w:sz w:val="24"/>
          <w:szCs w:val="24"/>
        </w:rPr>
      </w:pPr>
      <w:r>
        <w:rPr>
          <w:rFonts w:ascii="Century Gothic" w:hAnsi="Century Gothic" w:cs="Century Gothic"/>
          <w:b/>
          <w:kern w:val="2"/>
          <w:sz w:val="24"/>
          <w:szCs w:val="24"/>
        </w:rPr>
        <w:t>Lo s</w:t>
      </w:r>
      <w:r w:rsidRPr="00B45CF0">
        <w:rPr>
          <w:rFonts w:ascii="Century Gothic" w:hAnsi="Century Gothic" w:cs="Century Gothic"/>
          <w:b/>
          <w:kern w:val="2"/>
          <w:sz w:val="24"/>
          <w:szCs w:val="24"/>
        </w:rPr>
        <w:t>tudio</w:t>
      </w:r>
      <w:r>
        <w:rPr>
          <w:rFonts w:ascii="Century Gothic" w:hAnsi="Century Gothic" w:cs="Century Gothic"/>
          <w:b/>
          <w:kern w:val="2"/>
          <w:sz w:val="24"/>
          <w:szCs w:val="24"/>
        </w:rPr>
        <w:t xml:space="preserve"> A</w:t>
      </w:r>
      <w:r w:rsidR="006F7608">
        <w:rPr>
          <w:rFonts w:ascii="Century Gothic" w:hAnsi="Century Gothic" w:cs="Century Gothic"/>
          <w:b/>
          <w:kern w:val="2"/>
          <w:sz w:val="24"/>
          <w:szCs w:val="24"/>
        </w:rPr>
        <w:t>OUI</w:t>
      </w:r>
      <w:r>
        <w:rPr>
          <w:rFonts w:ascii="Century Gothic" w:hAnsi="Century Gothic" w:cs="Century Gothic"/>
          <w:b/>
          <w:kern w:val="2"/>
          <w:sz w:val="24"/>
          <w:szCs w:val="24"/>
        </w:rPr>
        <w:t xml:space="preserve"> pubblicato su Cell </w:t>
      </w:r>
      <w:proofErr w:type="spellStart"/>
      <w:r>
        <w:rPr>
          <w:rFonts w:ascii="Century Gothic" w:hAnsi="Century Gothic" w:cs="Century Gothic"/>
          <w:b/>
          <w:kern w:val="2"/>
          <w:sz w:val="24"/>
          <w:szCs w:val="24"/>
        </w:rPr>
        <w:t>Metabolism</w:t>
      </w:r>
      <w:proofErr w:type="spellEnd"/>
      <w:r w:rsidRPr="001C5F18">
        <w:rPr>
          <w:rFonts w:ascii="Century Gothic" w:hAnsi="Century Gothic" w:cs="Century Gothic"/>
          <w:b/>
          <w:kern w:val="2"/>
          <w:sz w:val="24"/>
          <w:szCs w:val="24"/>
        </w:rPr>
        <w:t>.</w:t>
      </w:r>
      <w:r w:rsidRPr="00B45CF0">
        <w:rPr>
          <w:rFonts w:ascii="Century Gothic" w:hAnsi="Century Gothic" w:cs="Century Gothic"/>
          <w:b/>
          <w:kern w:val="2"/>
          <w:sz w:val="24"/>
          <w:szCs w:val="24"/>
        </w:rPr>
        <w:t xml:space="preserve"> </w:t>
      </w:r>
      <w:r w:rsidR="00F250E1">
        <w:rPr>
          <w:rFonts w:ascii="Century Gothic" w:hAnsi="Century Gothic" w:cs="Century Gothic"/>
          <w:kern w:val="2"/>
          <w:sz w:val="24"/>
          <w:szCs w:val="24"/>
        </w:rPr>
        <w:t xml:space="preserve">Questa importante novità clinica rappresenta </w:t>
      </w:r>
      <w:r>
        <w:rPr>
          <w:rFonts w:ascii="Century Gothic" w:hAnsi="Century Gothic" w:cs="Century Gothic"/>
          <w:kern w:val="2"/>
          <w:sz w:val="24"/>
          <w:szCs w:val="24"/>
        </w:rPr>
        <w:t>il focus dello studio internazionale “</w:t>
      </w:r>
      <w:proofErr w:type="spellStart"/>
      <w:r w:rsidRPr="00EE6DFB">
        <w:rPr>
          <w:rFonts w:ascii="Century Gothic" w:hAnsi="Century Gothic" w:cs="Century Gothic"/>
          <w:kern w:val="2"/>
          <w:sz w:val="24"/>
          <w:szCs w:val="24"/>
        </w:rPr>
        <w:t>Immunometabolic</w:t>
      </w:r>
      <w:proofErr w:type="spellEnd"/>
      <w:r w:rsidRPr="00EE6DFB">
        <w:rPr>
          <w:rFonts w:ascii="Century Gothic" w:hAnsi="Century Gothic" w:cs="Century Gothic"/>
          <w:kern w:val="2"/>
          <w:sz w:val="24"/>
          <w:szCs w:val="24"/>
        </w:rPr>
        <w:t xml:space="preserve"> </w:t>
      </w:r>
      <w:proofErr w:type="spellStart"/>
      <w:r w:rsidRPr="00EE6DFB">
        <w:rPr>
          <w:rFonts w:ascii="Century Gothic" w:hAnsi="Century Gothic" w:cs="Century Gothic"/>
          <w:kern w:val="2"/>
          <w:sz w:val="24"/>
          <w:szCs w:val="24"/>
        </w:rPr>
        <w:t>endotypes</w:t>
      </w:r>
      <w:proofErr w:type="spellEnd"/>
      <w:r w:rsidRPr="00EE6DFB">
        <w:rPr>
          <w:rFonts w:ascii="Century Gothic" w:hAnsi="Century Gothic" w:cs="Century Gothic"/>
          <w:kern w:val="2"/>
          <w:sz w:val="24"/>
          <w:szCs w:val="24"/>
        </w:rPr>
        <w:t xml:space="preserve"> </w:t>
      </w:r>
      <w:proofErr w:type="spellStart"/>
      <w:r w:rsidRPr="00EE6DFB">
        <w:rPr>
          <w:rFonts w:ascii="Century Gothic" w:hAnsi="Century Gothic" w:cs="Century Gothic"/>
          <w:kern w:val="2"/>
          <w:sz w:val="24"/>
          <w:szCs w:val="24"/>
        </w:rPr>
        <w:t>define</w:t>
      </w:r>
      <w:proofErr w:type="spellEnd"/>
      <w:r w:rsidRPr="00EE6DFB">
        <w:rPr>
          <w:rFonts w:ascii="Century Gothic" w:hAnsi="Century Gothic" w:cs="Century Gothic"/>
          <w:kern w:val="2"/>
          <w:sz w:val="24"/>
          <w:szCs w:val="24"/>
        </w:rPr>
        <w:t xml:space="preserve"> </w:t>
      </w:r>
      <w:proofErr w:type="spellStart"/>
      <w:r w:rsidRPr="00EE6DFB">
        <w:rPr>
          <w:rFonts w:ascii="Century Gothic" w:hAnsi="Century Gothic" w:cs="Century Gothic"/>
          <w:kern w:val="2"/>
          <w:sz w:val="24"/>
          <w:szCs w:val="24"/>
        </w:rPr>
        <w:t>distinct</w:t>
      </w:r>
      <w:proofErr w:type="spellEnd"/>
      <w:r w:rsidRPr="00EE6DFB">
        <w:rPr>
          <w:rFonts w:ascii="Century Gothic" w:hAnsi="Century Gothic" w:cs="Century Gothic"/>
          <w:kern w:val="2"/>
          <w:sz w:val="24"/>
          <w:szCs w:val="24"/>
        </w:rPr>
        <w:t xml:space="preserve"> </w:t>
      </w:r>
      <w:proofErr w:type="spellStart"/>
      <w:r w:rsidRPr="00EE6DFB">
        <w:rPr>
          <w:rFonts w:ascii="Century Gothic" w:hAnsi="Century Gothic" w:cs="Century Gothic"/>
          <w:kern w:val="2"/>
          <w:sz w:val="24"/>
          <w:szCs w:val="24"/>
        </w:rPr>
        <w:t>clinical</w:t>
      </w:r>
      <w:proofErr w:type="spellEnd"/>
      <w:r w:rsidRPr="00EE6DFB">
        <w:rPr>
          <w:rFonts w:ascii="Century Gothic" w:hAnsi="Century Gothic" w:cs="Century Gothic"/>
          <w:kern w:val="2"/>
          <w:sz w:val="24"/>
          <w:szCs w:val="24"/>
        </w:rPr>
        <w:t xml:space="preserve"> </w:t>
      </w:r>
      <w:proofErr w:type="spellStart"/>
      <w:r w:rsidRPr="00EE6DFB">
        <w:rPr>
          <w:rFonts w:ascii="Century Gothic" w:hAnsi="Century Gothic" w:cs="Century Gothic"/>
          <w:kern w:val="2"/>
          <w:sz w:val="24"/>
          <w:szCs w:val="24"/>
        </w:rPr>
        <w:t>trajectories</w:t>
      </w:r>
      <w:proofErr w:type="spellEnd"/>
      <w:r w:rsidRPr="00EE6DFB">
        <w:rPr>
          <w:rFonts w:ascii="Century Gothic" w:hAnsi="Century Gothic" w:cs="Century Gothic"/>
          <w:kern w:val="2"/>
          <w:sz w:val="24"/>
          <w:szCs w:val="24"/>
        </w:rPr>
        <w:t xml:space="preserve"> in </w:t>
      </w:r>
      <w:proofErr w:type="spellStart"/>
      <w:r w:rsidRPr="00EE6DFB">
        <w:rPr>
          <w:rFonts w:ascii="Century Gothic" w:hAnsi="Century Gothic" w:cs="Century Gothic"/>
          <w:kern w:val="2"/>
          <w:sz w:val="24"/>
          <w:szCs w:val="24"/>
        </w:rPr>
        <w:t>type</w:t>
      </w:r>
      <w:proofErr w:type="spellEnd"/>
      <w:r w:rsidRPr="00EE6DFB">
        <w:rPr>
          <w:rFonts w:ascii="Century Gothic" w:hAnsi="Century Gothic" w:cs="Century Gothic"/>
          <w:kern w:val="2"/>
          <w:sz w:val="24"/>
          <w:szCs w:val="24"/>
        </w:rPr>
        <w:t xml:space="preserve"> 2 </w:t>
      </w:r>
      <w:proofErr w:type="spellStart"/>
      <w:r w:rsidRPr="00EE6DFB">
        <w:rPr>
          <w:rFonts w:ascii="Century Gothic" w:hAnsi="Century Gothic" w:cs="Century Gothic"/>
          <w:kern w:val="2"/>
          <w:sz w:val="24"/>
          <w:szCs w:val="24"/>
        </w:rPr>
        <w:t>diabetes</w:t>
      </w:r>
      <w:proofErr w:type="spellEnd"/>
      <w:r>
        <w:rPr>
          <w:rFonts w:ascii="Century Gothic" w:hAnsi="Century Gothic" w:cs="Century Gothic"/>
          <w:kern w:val="2"/>
          <w:sz w:val="24"/>
          <w:szCs w:val="24"/>
        </w:rPr>
        <w:t xml:space="preserve">” firmato dal prof. Riccardo </w:t>
      </w:r>
      <w:proofErr w:type="spellStart"/>
      <w:r>
        <w:rPr>
          <w:rFonts w:ascii="Century Gothic" w:hAnsi="Century Gothic" w:cs="Century Gothic"/>
          <w:kern w:val="2"/>
          <w:sz w:val="24"/>
          <w:szCs w:val="24"/>
        </w:rPr>
        <w:t>Bonadonna</w:t>
      </w:r>
      <w:proofErr w:type="spellEnd"/>
      <w:r>
        <w:rPr>
          <w:rFonts w:ascii="Century Gothic" w:hAnsi="Century Gothic" w:cs="Century Gothic"/>
          <w:kern w:val="2"/>
          <w:sz w:val="24"/>
          <w:szCs w:val="24"/>
        </w:rPr>
        <w:t xml:space="preserve">, direttore UOC </w:t>
      </w:r>
      <w:r w:rsidRPr="00C00CD9">
        <w:rPr>
          <w:rFonts w:ascii="Century Gothic" w:hAnsi="Century Gothic" w:cs="Century Gothic"/>
          <w:kern w:val="2"/>
          <w:sz w:val="24"/>
          <w:szCs w:val="24"/>
        </w:rPr>
        <w:t>Endocrinologia, Diabetologia e Malattie del</w:t>
      </w:r>
      <w:r>
        <w:rPr>
          <w:rFonts w:ascii="Century Gothic" w:hAnsi="Century Gothic" w:cs="Century Gothic"/>
          <w:kern w:val="2"/>
          <w:sz w:val="24"/>
          <w:szCs w:val="24"/>
        </w:rPr>
        <w:t xml:space="preserve"> metabolismo e p</w:t>
      </w:r>
      <w:r w:rsidRPr="00B45CF0">
        <w:rPr>
          <w:rFonts w:ascii="Century Gothic" w:hAnsi="Century Gothic" w:cs="Century Gothic"/>
          <w:kern w:val="2"/>
          <w:sz w:val="24"/>
          <w:szCs w:val="24"/>
        </w:rPr>
        <w:t>residente della Società Italiana di Diabetologia (SID)</w:t>
      </w:r>
      <w:r>
        <w:rPr>
          <w:rFonts w:ascii="Century Gothic" w:hAnsi="Century Gothic" w:cs="Century Gothic"/>
          <w:kern w:val="2"/>
          <w:sz w:val="24"/>
          <w:szCs w:val="24"/>
        </w:rPr>
        <w:t>, insieme ad altri due medici della UOC, prof</w:t>
      </w:r>
      <w:r w:rsidR="006F7608">
        <w:rPr>
          <w:rFonts w:ascii="Century Gothic" w:hAnsi="Century Gothic" w:cs="Century Gothic"/>
          <w:kern w:val="2"/>
          <w:sz w:val="24"/>
          <w:szCs w:val="24"/>
        </w:rPr>
        <w:t>.</w:t>
      </w:r>
      <w:r>
        <w:rPr>
          <w:rFonts w:ascii="Century Gothic" w:hAnsi="Century Gothic" w:cs="Century Gothic"/>
          <w:kern w:val="2"/>
          <w:sz w:val="24"/>
          <w:szCs w:val="24"/>
        </w:rPr>
        <w:t>ssa Maddalena Trombetta e dr.ssa Elisabetta Rinaldi</w:t>
      </w:r>
      <w:r w:rsidRPr="00B45CF0">
        <w:rPr>
          <w:rFonts w:ascii="Century Gothic" w:hAnsi="Century Gothic" w:cs="Century Gothic"/>
          <w:kern w:val="2"/>
          <w:sz w:val="24"/>
          <w:szCs w:val="24"/>
        </w:rPr>
        <w:t>.</w:t>
      </w:r>
      <w:r>
        <w:rPr>
          <w:rFonts w:ascii="Century Gothic" w:hAnsi="Century Gothic" w:cs="Century Gothic"/>
          <w:kern w:val="2"/>
          <w:sz w:val="24"/>
          <w:szCs w:val="24"/>
        </w:rPr>
        <w:t xml:space="preserve"> </w:t>
      </w:r>
      <w:r w:rsidRPr="00CE0342">
        <w:rPr>
          <w:rFonts w:ascii="Century Gothic" w:hAnsi="Century Gothic" w:cs="Century Gothic"/>
          <w:kern w:val="2"/>
          <w:sz w:val="24"/>
          <w:szCs w:val="24"/>
        </w:rPr>
        <w:t>La r</w:t>
      </w:r>
      <w:r>
        <w:rPr>
          <w:rFonts w:ascii="Century Gothic" w:hAnsi="Century Gothic" w:cs="Century Gothic"/>
          <w:kern w:val="2"/>
          <w:sz w:val="24"/>
          <w:szCs w:val="24"/>
        </w:rPr>
        <w:t>icerca</w:t>
      </w:r>
      <w:r w:rsidR="00F250E1">
        <w:rPr>
          <w:rFonts w:ascii="Century Gothic" w:hAnsi="Century Gothic" w:cs="Century Gothic"/>
          <w:kern w:val="2"/>
          <w:sz w:val="24"/>
          <w:szCs w:val="24"/>
        </w:rPr>
        <w:t>, pubblicata</w:t>
      </w:r>
      <w:r w:rsidR="00B71904">
        <w:rPr>
          <w:rFonts w:ascii="Century Gothic" w:hAnsi="Century Gothic" w:cs="Century Gothic"/>
          <w:kern w:val="2"/>
          <w:sz w:val="24"/>
          <w:szCs w:val="24"/>
        </w:rPr>
        <w:t xml:space="preserve"> su Cell </w:t>
      </w:r>
      <w:proofErr w:type="spellStart"/>
      <w:r w:rsidR="00B71904">
        <w:rPr>
          <w:rFonts w:ascii="Century Gothic" w:hAnsi="Century Gothic" w:cs="Century Gothic"/>
          <w:kern w:val="2"/>
          <w:sz w:val="24"/>
          <w:szCs w:val="24"/>
        </w:rPr>
        <w:t>Metabolism</w:t>
      </w:r>
      <w:proofErr w:type="spellEnd"/>
      <w:r w:rsidR="00B71904">
        <w:rPr>
          <w:rFonts w:ascii="Century Gothic" w:hAnsi="Century Gothic" w:cs="Century Gothic"/>
          <w:kern w:val="2"/>
          <w:sz w:val="24"/>
          <w:szCs w:val="24"/>
        </w:rPr>
        <w:t>,</w:t>
      </w:r>
      <w:r>
        <w:rPr>
          <w:rFonts w:ascii="Century Gothic" w:hAnsi="Century Gothic" w:cs="Century Gothic"/>
          <w:kern w:val="2"/>
          <w:sz w:val="24"/>
          <w:szCs w:val="24"/>
        </w:rPr>
        <w:t xml:space="preserve"> ha coinvolto circa 70 mila</w:t>
      </w:r>
      <w:r w:rsidRPr="00CE0342">
        <w:rPr>
          <w:rFonts w:ascii="Century Gothic" w:hAnsi="Century Gothic" w:cs="Century Gothic"/>
          <w:kern w:val="2"/>
          <w:sz w:val="24"/>
          <w:szCs w:val="24"/>
        </w:rPr>
        <w:t xml:space="preserve"> persone di origine europea con diabete di tipo 2, di cui oltre 1500 di nuova d</w:t>
      </w:r>
      <w:r>
        <w:rPr>
          <w:rFonts w:ascii="Century Gothic" w:hAnsi="Century Gothic" w:cs="Century Gothic"/>
          <w:kern w:val="2"/>
          <w:sz w:val="24"/>
          <w:szCs w:val="24"/>
        </w:rPr>
        <w:t xml:space="preserve">iagnosi. Il </w:t>
      </w:r>
      <w:r w:rsidRPr="00CE0342">
        <w:rPr>
          <w:rFonts w:ascii="Century Gothic" w:hAnsi="Century Gothic" w:cs="Century Gothic"/>
          <w:kern w:val="2"/>
          <w:sz w:val="24"/>
          <w:szCs w:val="24"/>
        </w:rPr>
        <w:t xml:space="preserve">loro emocromo è stato esaminato da uno speciale algoritmo che ha permesso di assegnarle a quattro diversi profili immunitari, ognuno dei quali correlato a un diverso rischio di mortalità e </w:t>
      </w:r>
      <w:r w:rsidR="006F7608">
        <w:rPr>
          <w:rFonts w:ascii="Century Gothic" w:hAnsi="Century Gothic" w:cs="Century Gothic"/>
          <w:kern w:val="2"/>
          <w:sz w:val="24"/>
          <w:szCs w:val="24"/>
        </w:rPr>
        <w:t xml:space="preserve">di </w:t>
      </w:r>
      <w:r w:rsidRPr="00CE0342">
        <w:rPr>
          <w:rFonts w:ascii="Century Gothic" w:hAnsi="Century Gothic" w:cs="Century Gothic"/>
          <w:kern w:val="2"/>
          <w:sz w:val="24"/>
          <w:szCs w:val="24"/>
        </w:rPr>
        <w:t>complicanze</w:t>
      </w:r>
      <w:r w:rsidR="006F7608">
        <w:rPr>
          <w:rFonts w:ascii="Century Gothic" w:hAnsi="Century Gothic" w:cs="Century Gothic"/>
          <w:kern w:val="2"/>
          <w:sz w:val="24"/>
          <w:szCs w:val="24"/>
        </w:rPr>
        <w:t xml:space="preserve"> cardiorenali</w:t>
      </w:r>
      <w:r w:rsidRPr="00CE0342">
        <w:rPr>
          <w:rFonts w:ascii="Century Gothic" w:hAnsi="Century Gothic" w:cs="Century Gothic"/>
          <w:kern w:val="2"/>
          <w:sz w:val="24"/>
          <w:szCs w:val="24"/>
        </w:rPr>
        <w:t xml:space="preserve">. </w:t>
      </w:r>
    </w:p>
    <w:p w14:paraId="3ED2E2AE" w14:textId="3B4EFE6F" w:rsidR="00B71904" w:rsidRDefault="00B71904" w:rsidP="0061521E">
      <w:pPr>
        <w:ind w:right="-35"/>
        <w:jc w:val="both"/>
        <w:rPr>
          <w:rFonts w:ascii="Century Gothic" w:hAnsi="Century Gothic" w:cs="Century Gothic"/>
          <w:kern w:val="2"/>
          <w:sz w:val="24"/>
          <w:szCs w:val="24"/>
        </w:rPr>
      </w:pPr>
    </w:p>
    <w:p w14:paraId="6098F9CC" w14:textId="77777777" w:rsidR="00B71904" w:rsidRPr="00B71904" w:rsidRDefault="00B71904" w:rsidP="00B71904">
      <w:pPr>
        <w:ind w:right="-35"/>
        <w:jc w:val="both"/>
        <w:rPr>
          <w:rFonts w:ascii="Century Gothic" w:hAnsi="Century Gothic" w:cs="Century Gothic"/>
          <w:kern w:val="2"/>
          <w:sz w:val="24"/>
          <w:szCs w:val="24"/>
        </w:rPr>
      </w:pPr>
      <w:r w:rsidRPr="00B71904">
        <w:rPr>
          <w:rFonts w:ascii="Century Gothic" w:hAnsi="Century Gothic" w:cs="Century Gothic"/>
          <w:b/>
          <w:kern w:val="2"/>
          <w:sz w:val="24"/>
          <w:szCs w:val="24"/>
        </w:rPr>
        <w:t>Per il paziente è rapido ed economico.</w:t>
      </w:r>
      <w:r w:rsidRPr="00B71904">
        <w:rPr>
          <w:rFonts w:ascii="Century Gothic" w:hAnsi="Century Gothic" w:cs="Century Gothic"/>
          <w:kern w:val="2"/>
          <w:sz w:val="24"/>
          <w:szCs w:val="24"/>
        </w:rPr>
        <w:t xml:space="preserve"> Questo approccio apre una nuova prospettiva di medicina di precisione per il diabete. Rilevare il rischio residuo di complicanze cardiovascolari e di mortalità non richiede tecnologie costose e complicate, ma semplicemente l'emocromo, che è un esame di routine ed economico. L’algoritmo che analizza poi l’esito è liberamente consultabile e </w:t>
      </w:r>
      <w:r w:rsidRPr="00B71904">
        <w:rPr>
          <w:rFonts w:ascii="Century Gothic" w:hAnsi="Century Gothic" w:cs="Century Gothic"/>
          <w:kern w:val="2"/>
          <w:sz w:val="24"/>
          <w:szCs w:val="24"/>
        </w:rPr>
        <w:lastRenderedPageBreak/>
        <w:t>utilizzabile online. In questo modo il profilo immunitario del paziente può essere integrato nella valutazione clinica, migliorando quindi significativamente la stima dei rischi di complicanze, rispetto agli approcci attualmente adottati. Non solo: il profilo infiammatorio caratteristico dei pazienti ad alto rischio è modificabile, aprendo concrete possibilità di intervento terapeutico. Tutto ciò permette di impostare una terapia più intensiva e un follow-up più puntuale per questi pazienti, ancor prima della manifestazione delle complicanze.</w:t>
      </w:r>
    </w:p>
    <w:p w14:paraId="6083BE44" w14:textId="77777777" w:rsidR="00B71904" w:rsidRDefault="00B71904" w:rsidP="0061521E">
      <w:pPr>
        <w:ind w:right="-35"/>
        <w:jc w:val="both"/>
        <w:rPr>
          <w:rFonts w:ascii="Century Gothic" w:hAnsi="Century Gothic" w:cs="Century Gothic"/>
          <w:kern w:val="2"/>
          <w:sz w:val="24"/>
          <w:szCs w:val="24"/>
        </w:rPr>
      </w:pPr>
    </w:p>
    <w:p w14:paraId="79082995" w14:textId="77777777" w:rsidR="006F7608" w:rsidRDefault="006F7608" w:rsidP="006F7608">
      <w:pPr>
        <w:ind w:right="-35"/>
        <w:jc w:val="both"/>
        <w:rPr>
          <w:rFonts w:ascii="Century Gothic" w:hAnsi="Century Gothic" w:cs="Century Gothic"/>
          <w:b/>
          <w:kern w:val="2"/>
          <w:sz w:val="24"/>
          <w:szCs w:val="24"/>
        </w:rPr>
      </w:pPr>
    </w:p>
    <w:p w14:paraId="493041F3" w14:textId="77777777" w:rsidR="006F7608" w:rsidRDefault="006F7608" w:rsidP="006F7608">
      <w:pPr>
        <w:ind w:right="-35"/>
        <w:jc w:val="both"/>
        <w:rPr>
          <w:rFonts w:ascii="Century Gothic" w:hAnsi="Century Gothic" w:cs="Century Gothic"/>
          <w:kern w:val="2"/>
          <w:sz w:val="24"/>
          <w:szCs w:val="24"/>
        </w:rPr>
      </w:pPr>
      <w:r>
        <w:rPr>
          <w:rFonts w:ascii="Century Gothic" w:hAnsi="Century Gothic" w:cs="Century Gothic"/>
          <w:b/>
          <w:kern w:val="2"/>
          <w:sz w:val="24"/>
          <w:szCs w:val="24"/>
        </w:rPr>
        <w:t xml:space="preserve">Stato della malattia o fragilità non c’entrano. </w:t>
      </w:r>
      <w:r>
        <w:rPr>
          <w:rFonts w:ascii="Century Gothic" w:hAnsi="Century Gothic" w:cs="Century Gothic"/>
          <w:kern w:val="2"/>
          <w:sz w:val="24"/>
          <w:szCs w:val="24"/>
        </w:rPr>
        <w:t xml:space="preserve">La differenza di rischio tra profili SIND/LYDD e MIND/LYRD è indipendente </w:t>
      </w:r>
      <w:r w:rsidRPr="0005031B">
        <w:rPr>
          <w:rFonts w:ascii="Century Gothic" w:hAnsi="Century Gothic" w:cs="Century Gothic"/>
          <w:kern w:val="2"/>
          <w:sz w:val="24"/>
          <w:szCs w:val="24"/>
        </w:rPr>
        <w:t>da età, sesso, peso corporeo o</w:t>
      </w:r>
      <w:r>
        <w:rPr>
          <w:rFonts w:ascii="Century Gothic" w:hAnsi="Century Gothic" w:cs="Century Gothic"/>
          <w:kern w:val="2"/>
          <w:sz w:val="24"/>
          <w:szCs w:val="24"/>
        </w:rPr>
        <w:t xml:space="preserve"> livello di emoglobina </w:t>
      </w:r>
      <w:proofErr w:type="spellStart"/>
      <w:r>
        <w:rPr>
          <w:rFonts w:ascii="Century Gothic" w:hAnsi="Century Gothic" w:cs="Century Gothic"/>
          <w:kern w:val="2"/>
          <w:sz w:val="24"/>
          <w:szCs w:val="24"/>
        </w:rPr>
        <w:t>glicata</w:t>
      </w:r>
      <w:proofErr w:type="spellEnd"/>
      <w:r>
        <w:rPr>
          <w:rFonts w:ascii="Century Gothic" w:hAnsi="Century Gothic" w:cs="Century Gothic"/>
          <w:kern w:val="2"/>
          <w:sz w:val="24"/>
          <w:szCs w:val="24"/>
        </w:rPr>
        <w:t xml:space="preserve">. Gli </w:t>
      </w:r>
      <w:r w:rsidRPr="0005031B">
        <w:rPr>
          <w:rFonts w:ascii="Century Gothic" w:hAnsi="Century Gothic" w:cs="Century Gothic"/>
          <w:kern w:val="2"/>
          <w:sz w:val="24"/>
          <w:szCs w:val="24"/>
        </w:rPr>
        <w:t>“</w:t>
      </w:r>
      <w:proofErr w:type="spellStart"/>
      <w:r w:rsidRPr="0005031B">
        <w:rPr>
          <w:rFonts w:ascii="Century Gothic" w:hAnsi="Century Gothic" w:cs="Century Gothic"/>
          <w:kern w:val="2"/>
          <w:sz w:val="24"/>
          <w:szCs w:val="24"/>
        </w:rPr>
        <w:t>endotipi</w:t>
      </w:r>
      <w:proofErr w:type="spellEnd"/>
      <w:r w:rsidRPr="0005031B">
        <w:rPr>
          <w:rFonts w:ascii="Century Gothic" w:hAnsi="Century Gothic" w:cs="Century Gothic"/>
          <w:kern w:val="2"/>
          <w:sz w:val="24"/>
          <w:szCs w:val="24"/>
        </w:rPr>
        <w:t>” e il rischio a loro collegato</w:t>
      </w:r>
      <w:r>
        <w:rPr>
          <w:rFonts w:ascii="Century Gothic" w:hAnsi="Century Gothic" w:cs="Century Gothic"/>
          <w:kern w:val="2"/>
          <w:sz w:val="24"/>
          <w:szCs w:val="24"/>
        </w:rPr>
        <w:t xml:space="preserve"> </w:t>
      </w:r>
      <w:r w:rsidRPr="0005031B">
        <w:rPr>
          <w:rFonts w:ascii="Century Gothic" w:hAnsi="Century Gothic" w:cs="Century Gothic"/>
          <w:kern w:val="2"/>
          <w:sz w:val="24"/>
          <w:szCs w:val="24"/>
        </w:rPr>
        <w:t xml:space="preserve">restano </w:t>
      </w:r>
      <w:r>
        <w:rPr>
          <w:rFonts w:ascii="Century Gothic" w:hAnsi="Century Gothic" w:cs="Century Gothic"/>
          <w:kern w:val="2"/>
          <w:sz w:val="24"/>
          <w:szCs w:val="24"/>
        </w:rPr>
        <w:t xml:space="preserve">costanti nel tempo e non riflettono quindi </w:t>
      </w:r>
      <w:r w:rsidRPr="0005031B">
        <w:rPr>
          <w:rFonts w:ascii="Century Gothic" w:hAnsi="Century Gothic" w:cs="Century Gothic"/>
          <w:kern w:val="2"/>
          <w:sz w:val="24"/>
          <w:szCs w:val="24"/>
        </w:rPr>
        <w:t xml:space="preserve">un diabete "più avanzato" o un paziente "più fragile" in partenza. </w:t>
      </w:r>
    </w:p>
    <w:p w14:paraId="138B84DF" w14:textId="462B61B7" w:rsidR="00EE6DFB" w:rsidRDefault="00EE6DFB" w:rsidP="00592D31">
      <w:pPr>
        <w:ind w:right="-35"/>
        <w:jc w:val="both"/>
        <w:rPr>
          <w:rFonts w:ascii="Century Gothic" w:hAnsi="Century Gothic" w:cs="Century Gothic"/>
          <w:kern w:val="2"/>
          <w:sz w:val="24"/>
          <w:szCs w:val="24"/>
        </w:rPr>
      </w:pPr>
    </w:p>
    <w:p w14:paraId="5F862143" w14:textId="554CB01F" w:rsidR="00C00CD9" w:rsidRDefault="00CE0342" w:rsidP="00592D31">
      <w:pPr>
        <w:ind w:right="-35"/>
        <w:jc w:val="both"/>
        <w:rPr>
          <w:rFonts w:ascii="Century Gothic" w:hAnsi="Century Gothic" w:cs="Century Gothic"/>
          <w:kern w:val="2"/>
          <w:sz w:val="24"/>
          <w:szCs w:val="24"/>
        </w:rPr>
      </w:pPr>
      <w:r w:rsidRPr="00CE0342">
        <w:rPr>
          <w:rFonts w:ascii="Century Gothic" w:hAnsi="Century Gothic" w:cs="Century Gothic"/>
          <w:b/>
          <w:kern w:val="2"/>
          <w:sz w:val="24"/>
          <w:szCs w:val="24"/>
        </w:rPr>
        <w:t xml:space="preserve">Prof. </w:t>
      </w:r>
      <w:r w:rsidR="007B71FE">
        <w:rPr>
          <w:rFonts w:ascii="Century Gothic" w:hAnsi="Century Gothic" w:cs="Century Gothic"/>
          <w:b/>
          <w:kern w:val="2"/>
          <w:sz w:val="24"/>
          <w:szCs w:val="24"/>
        </w:rPr>
        <w:t xml:space="preserve">Riccardo </w:t>
      </w:r>
      <w:proofErr w:type="spellStart"/>
      <w:r w:rsidRPr="00CE0342">
        <w:rPr>
          <w:rFonts w:ascii="Century Gothic" w:hAnsi="Century Gothic" w:cs="Century Gothic"/>
          <w:b/>
          <w:kern w:val="2"/>
          <w:sz w:val="24"/>
          <w:szCs w:val="24"/>
        </w:rPr>
        <w:t>Bonadonna</w:t>
      </w:r>
      <w:proofErr w:type="spellEnd"/>
      <w:r w:rsidRPr="00CE0342">
        <w:rPr>
          <w:rFonts w:ascii="Century Gothic" w:hAnsi="Century Gothic" w:cs="Century Gothic"/>
          <w:b/>
          <w:kern w:val="2"/>
          <w:sz w:val="24"/>
          <w:szCs w:val="24"/>
        </w:rPr>
        <w:t>:</w:t>
      </w:r>
      <w:r>
        <w:rPr>
          <w:rFonts w:ascii="Century Gothic" w:hAnsi="Century Gothic" w:cs="Century Gothic"/>
          <w:kern w:val="2"/>
          <w:sz w:val="24"/>
          <w:szCs w:val="24"/>
        </w:rPr>
        <w:t xml:space="preserve"> “</w:t>
      </w:r>
      <w:r w:rsidR="007B71FE">
        <w:rPr>
          <w:rFonts w:ascii="Century Gothic" w:hAnsi="Century Gothic" w:cs="Century Gothic"/>
          <w:kern w:val="2"/>
          <w:sz w:val="24"/>
          <w:szCs w:val="24"/>
        </w:rPr>
        <w:t>F</w:t>
      </w:r>
      <w:r w:rsidRPr="00CE0342">
        <w:rPr>
          <w:rFonts w:ascii="Century Gothic" w:hAnsi="Century Gothic" w:cs="Century Gothic"/>
          <w:kern w:val="2"/>
          <w:sz w:val="24"/>
          <w:szCs w:val="24"/>
        </w:rPr>
        <w:t xml:space="preserve">in dal momento della diagnosi di diabete di tipo 2, ma anche a distanza di anni dalla diagnosi, sarà possibile individuare i sottogruppi di pazienti a maggior rischio di complicanze e di premorienza, e indirizzarli così verso un monitoraggio cardiovascolare e renale più stretto </w:t>
      </w:r>
      <w:r w:rsidR="006534AA">
        <w:rPr>
          <w:rFonts w:ascii="Century Gothic" w:hAnsi="Century Gothic" w:cs="Century Gothic"/>
          <w:kern w:val="2"/>
          <w:sz w:val="24"/>
          <w:szCs w:val="24"/>
        </w:rPr>
        <w:t>e</w:t>
      </w:r>
      <w:r w:rsidRPr="00CE0342">
        <w:rPr>
          <w:rFonts w:ascii="Century Gothic" w:hAnsi="Century Gothic" w:cs="Century Gothic"/>
          <w:kern w:val="2"/>
          <w:sz w:val="24"/>
          <w:szCs w:val="24"/>
        </w:rPr>
        <w:t xml:space="preserve"> verso strategie terapeutiche più aggressive e mirate, ben prima che le complicanze si manifestino clinicamente.</w:t>
      </w:r>
      <w:r w:rsidR="00C00CD9">
        <w:rPr>
          <w:rFonts w:ascii="Century Gothic" w:hAnsi="Century Gothic" w:cs="Century Gothic"/>
          <w:kern w:val="2"/>
          <w:sz w:val="24"/>
          <w:szCs w:val="24"/>
        </w:rPr>
        <w:t xml:space="preserve"> </w:t>
      </w:r>
    </w:p>
    <w:p w14:paraId="7E9E7F9C" w14:textId="7BCF976B" w:rsidR="00CE0342" w:rsidRPr="00B65E1E" w:rsidRDefault="00C00CD9" w:rsidP="00592D31">
      <w:pPr>
        <w:ind w:right="-35"/>
        <w:jc w:val="both"/>
        <w:rPr>
          <w:rFonts w:ascii="Century Gothic" w:hAnsi="Century Gothic" w:cs="Century Gothic"/>
          <w:kern w:val="2"/>
          <w:sz w:val="24"/>
          <w:szCs w:val="24"/>
        </w:rPr>
      </w:pPr>
      <w:r w:rsidRPr="00C00CD9">
        <w:rPr>
          <w:rFonts w:ascii="Century Gothic" w:hAnsi="Century Gothic" w:cs="Century Gothic"/>
          <w:kern w:val="2"/>
          <w:sz w:val="24"/>
          <w:szCs w:val="24"/>
        </w:rPr>
        <w:t>Abbiamo</w:t>
      </w:r>
      <w:r w:rsidR="007B71FE">
        <w:rPr>
          <w:rFonts w:ascii="Century Gothic" w:hAnsi="Century Gothic" w:cs="Century Gothic"/>
          <w:kern w:val="2"/>
          <w:sz w:val="24"/>
          <w:szCs w:val="24"/>
        </w:rPr>
        <w:t xml:space="preserve"> inoltre</w:t>
      </w:r>
      <w:r w:rsidRPr="00C00CD9">
        <w:rPr>
          <w:rFonts w:ascii="Century Gothic" w:hAnsi="Century Gothic" w:cs="Century Gothic"/>
          <w:kern w:val="2"/>
          <w:sz w:val="24"/>
          <w:szCs w:val="24"/>
        </w:rPr>
        <w:t xml:space="preserve"> osservato </w:t>
      </w:r>
      <w:r w:rsidR="007B71FE">
        <w:rPr>
          <w:rFonts w:ascii="Century Gothic" w:hAnsi="Century Gothic" w:cs="Century Gothic"/>
          <w:kern w:val="2"/>
          <w:sz w:val="24"/>
          <w:szCs w:val="24"/>
        </w:rPr>
        <w:t xml:space="preserve">che il </w:t>
      </w:r>
      <w:r w:rsidR="007B71FE" w:rsidRPr="007B71FE">
        <w:rPr>
          <w:rFonts w:ascii="Century Gothic" w:hAnsi="Century Gothic" w:cs="Century Gothic"/>
          <w:kern w:val="2"/>
          <w:sz w:val="24"/>
          <w:szCs w:val="24"/>
        </w:rPr>
        <w:t xml:space="preserve">profilo infiammatorio dei SIND </w:t>
      </w:r>
      <w:r w:rsidR="007B71FE">
        <w:rPr>
          <w:rFonts w:ascii="Century Gothic" w:hAnsi="Century Gothic" w:cs="Century Gothic"/>
          <w:kern w:val="2"/>
          <w:sz w:val="24"/>
          <w:szCs w:val="24"/>
        </w:rPr>
        <w:t>(rischio maggiore) si attenua</w:t>
      </w:r>
      <w:r w:rsidRPr="00C00CD9">
        <w:rPr>
          <w:rFonts w:ascii="Century Gothic" w:hAnsi="Century Gothic" w:cs="Century Gothic"/>
          <w:kern w:val="2"/>
          <w:sz w:val="24"/>
          <w:szCs w:val="24"/>
        </w:rPr>
        <w:t xml:space="preserve"> sia con farmaci antagonisti dell'interleuchina-1 beta, sia dopo int</w:t>
      </w:r>
      <w:r>
        <w:rPr>
          <w:rFonts w:ascii="Century Gothic" w:hAnsi="Century Gothic" w:cs="Century Gothic"/>
          <w:kern w:val="2"/>
          <w:sz w:val="24"/>
          <w:szCs w:val="24"/>
        </w:rPr>
        <w:t xml:space="preserve">erventi di chirurgia </w:t>
      </w:r>
      <w:proofErr w:type="spellStart"/>
      <w:r>
        <w:rPr>
          <w:rFonts w:ascii="Century Gothic" w:hAnsi="Century Gothic" w:cs="Century Gothic"/>
          <w:kern w:val="2"/>
          <w:sz w:val="24"/>
          <w:szCs w:val="24"/>
        </w:rPr>
        <w:t>bariatrica</w:t>
      </w:r>
      <w:proofErr w:type="spellEnd"/>
      <w:r>
        <w:rPr>
          <w:rFonts w:ascii="Century Gothic" w:hAnsi="Century Gothic" w:cs="Century Gothic"/>
          <w:kern w:val="2"/>
          <w:sz w:val="24"/>
          <w:szCs w:val="24"/>
        </w:rPr>
        <w:t xml:space="preserve">. </w:t>
      </w:r>
      <w:r w:rsidRPr="00C00CD9">
        <w:rPr>
          <w:rFonts w:ascii="Century Gothic" w:hAnsi="Century Gothic" w:cs="Century Gothic"/>
          <w:kern w:val="2"/>
          <w:sz w:val="24"/>
          <w:szCs w:val="24"/>
        </w:rPr>
        <w:t>Questo suggerisce che il diverso profilo infiammatorio non sia solo un marcatore prognostico, ma un possibile bersaglio terapeutico sul quale intervenire per modificare la traiettoria clin</w:t>
      </w:r>
      <w:r>
        <w:rPr>
          <w:rFonts w:ascii="Century Gothic" w:hAnsi="Century Gothic" w:cs="Century Gothic"/>
          <w:kern w:val="2"/>
          <w:sz w:val="24"/>
          <w:szCs w:val="24"/>
        </w:rPr>
        <w:t>ica dei pazienti più a rischio</w:t>
      </w:r>
      <w:r w:rsidR="00CE0342">
        <w:rPr>
          <w:rFonts w:ascii="Century Gothic" w:hAnsi="Century Gothic" w:cs="Century Gothic"/>
          <w:kern w:val="2"/>
          <w:sz w:val="24"/>
          <w:szCs w:val="24"/>
        </w:rPr>
        <w:t>”</w:t>
      </w:r>
      <w:r w:rsidR="007B71FE">
        <w:rPr>
          <w:rFonts w:ascii="Century Gothic" w:hAnsi="Century Gothic" w:cs="Century Gothic"/>
          <w:kern w:val="2"/>
          <w:sz w:val="24"/>
          <w:szCs w:val="24"/>
        </w:rPr>
        <w:t>.</w:t>
      </w:r>
    </w:p>
    <w:sectPr w:rsidR="00CE0342" w:rsidRPr="00B65E1E">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CC9F7" w14:textId="77777777" w:rsidR="00A858B0" w:rsidRDefault="00A858B0">
      <w:r>
        <w:separator/>
      </w:r>
    </w:p>
  </w:endnote>
  <w:endnote w:type="continuationSeparator" w:id="0">
    <w:p w14:paraId="4F61B4CD" w14:textId="77777777" w:rsidR="00A858B0" w:rsidRDefault="00A8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F7687" w14:textId="0BAE0C33" w:rsidR="00713A61" w:rsidRDefault="00566947">
    <w:pPr>
      <w:pStyle w:val="Pidipagina"/>
    </w:pPr>
    <w:r>
      <w:t>Ospedale</w:t>
    </w:r>
    <w:r w:rsidR="00713A6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1CF3" w14:textId="6BA54A8B" w:rsidR="00707657" w:rsidRDefault="00556ED6">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pPr>
    <w:r w:rsidRPr="000B2EB4">
      <w:rPr>
        <w:rFonts w:ascii="Century Gothic" w:hAnsi="Century Gothic" w:cs="AppleSystemUIFont"/>
        <w:lang w:eastAsia="it-IT"/>
      </w:rPr>
      <w:t>AOUI Verona Notizie</w:t>
    </w:r>
    <w:r w:rsidR="00700B07" w:rsidRPr="006C191D">
      <w:rPr>
        <w:rFonts w:ascii="Century Gothic" w:hAnsi="Century Gothic" w:cs="AppleSystemUIFont"/>
        <w:sz w:val="17"/>
        <w:szCs w:val="17"/>
        <w:lang w:eastAsia="it-IT"/>
      </w:rPr>
      <w:br/>
      <w:t>Registrazione al Tribunale di Verona</w:t>
    </w:r>
    <w:r w:rsidR="000B2EB4">
      <w:rPr>
        <w:rFonts w:ascii="Century Gothic" w:hAnsi="Century Gothic" w:cs="AppleSystemUIFont"/>
        <w:sz w:val="17"/>
        <w:szCs w:val="17"/>
        <w:lang w:eastAsia="it-IT"/>
      </w:rPr>
      <w:t xml:space="preserve"> </w:t>
    </w:r>
    <w:r w:rsidR="00700B07" w:rsidRPr="006C191D">
      <w:rPr>
        <w:rFonts w:ascii="Century Gothic" w:hAnsi="Century Gothic" w:cs="AppleSystemUIFont"/>
        <w:sz w:val="17"/>
        <w:szCs w:val="17"/>
        <w:lang w:eastAsia="it-IT"/>
      </w:rPr>
      <w:t xml:space="preserve">n° </w:t>
    </w:r>
    <w:r w:rsidR="00150CB8" w:rsidRPr="006C191D">
      <w:rPr>
        <w:rFonts w:ascii="Century Gothic" w:hAnsi="Century Gothic" w:cs="AppleSystemUIFont"/>
        <w:sz w:val="17"/>
        <w:szCs w:val="17"/>
        <w:lang w:eastAsia="it-IT"/>
      </w:rPr>
      <w:t>2222 del 23/10/2025</w:t>
    </w:r>
    <w:r w:rsidR="000B2EB4">
      <w:rPr>
        <w:rFonts w:ascii="Century Gothic" w:hAnsi="Century Gothic" w:cs="AppleSystemUIFont"/>
        <w:sz w:val="17"/>
        <w:szCs w:val="17"/>
        <w:lang w:eastAsia="it-IT"/>
      </w:rPr>
      <w:br/>
    </w:r>
    <w:r>
      <w:rPr>
        <w:rFonts w:ascii="Century Gothic" w:hAnsi="Century Gothic" w:cs="Century Gothic"/>
        <w:sz w:val="17"/>
        <w:szCs w:val="17"/>
      </w:rPr>
      <w:br/>
    </w:r>
    <w:r w:rsidR="00707657">
      <w:rPr>
        <w:rFonts w:ascii="Century Gothic" w:hAnsi="Century Gothic" w:cs="Century Gothic"/>
        <w:sz w:val="17"/>
        <w:szCs w:val="17"/>
      </w:rPr>
      <w:t>Sede Legale: P</w:t>
    </w:r>
    <w:r w:rsidR="00713DD1">
      <w:rPr>
        <w:rFonts w:ascii="Century Gothic" w:hAnsi="Century Gothic" w:cs="Century Gothic"/>
        <w:sz w:val="17"/>
        <w:szCs w:val="17"/>
      </w:rPr>
      <w:t>iazzale</w:t>
    </w:r>
    <w:r w:rsidR="00707657">
      <w:rPr>
        <w:rFonts w:ascii="Century Gothic" w:hAnsi="Century Gothic" w:cs="Century Gothic"/>
        <w:sz w:val="17"/>
        <w:szCs w:val="17"/>
      </w:rPr>
      <w:t xml:space="preserve"> A. Stefani, 1 – 37126 Verona</w:t>
    </w:r>
  </w:p>
  <w:p w14:paraId="2053420A" w14:textId="77777777" w:rsidR="00707657" w:rsidRDefault="00707657">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pPr>
    <w:r>
      <w:rPr>
        <w:rFonts w:ascii="Century Gothic" w:hAnsi="Century Gothic" w:cs="Century Gothic"/>
        <w:sz w:val="17"/>
        <w:szCs w:val="17"/>
      </w:rPr>
      <w:t>Tel. 045/812 1293 - 045/812 2206 - C.F. e P.IVA 03901420236</w:t>
    </w:r>
  </w:p>
  <w:p w14:paraId="3519301B" w14:textId="77777777" w:rsidR="00707657" w:rsidRDefault="00A858B0">
    <w:pPr>
      <w:pStyle w:val="Pidipagina"/>
      <w:pBdr>
        <w:top w:val="single" w:sz="4" w:space="1" w:color="000000"/>
        <w:left w:val="none" w:sz="0" w:space="0" w:color="000000"/>
        <w:bottom w:val="single" w:sz="4" w:space="1" w:color="000000"/>
        <w:right w:val="none" w:sz="0" w:space="0" w:color="000000"/>
      </w:pBdr>
      <w:tabs>
        <w:tab w:val="clear" w:pos="4819"/>
        <w:tab w:val="clear" w:pos="9638"/>
      </w:tabs>
      <w:jc w:val="center"/>
      <w:rPr>
        <w:sz w:val="16"/>
        <w:szCs w:val="16"/>
      </w:rPr>
    </w:pPr>
    <w:hyperlink r:id="rId1" w:history="1">
      <w:r w:rsidR="00707657">
        <w:rPr>
          <w:rStyle w:val="Collegamentoipertestuale"/>
          <w:rFonts w:ascii="Century Gothic" w:hAnsi="Century Gothic" w:cs="Century Gothic"/>
          <w:sz w:val="17"/>
          <w:szCs w:val="17"/>
        </w:rPr>
        <w:t>www.aovr.veneto.it</w:t>
      </w:r>
    </w:hyperlink>
    <w:r w:rsidR="00707657">
      <w:rPr>
        <w:rFonts w:ascii="Century Gothic" w:hAnsi="Century Gothic" w:cs="Century Gothic"/>
        <w:sz w:val="17"/>
        <w:szCs w:val="17"/>
      </w:rPr>
      <w:t xml:space="preserve">  -  e-mail: </w:t>
    </w:r>
    <w:hyperlink r:id="rId2" w:history="1">
      <w:r w:rsidR="00707657">
        <w:rPr>
          <w:rStyle w:val="Collegamentoipertestuale"/>
          <w:rFonts w:ascii="Century Gothic" w:hAnsi="Century Gothic" w:cs="Century Gothic"/>
          <w:sz w:val="17"/>
          <w:szCs w:val="17"/>
        </w:rPr>
        <w:t>ufficio.stampa@aovr.veneto.it</w:t>
      </w:r>
    </w:hyperlink>
  </w:p>
  <w:p w14:paraId="225757AC" w14:textId="28F1C2EC" w:rsidR="00707657" w:rsidRDefault="00707657">
    <w:pPr>
      <w:pStyle w:val="Pidipagina"/>
      <w:tabs>
        <w:tab w:val="clear" w:pos="4819"/>
        <w:tab w:val="clear" w:pos="9638"/>
      </w:tabs>
      <w:spacing w:before="40" w:line="260" w:lineRule="exact"/>
      <w:jc w:val="center"/>
    </w:pPr>
    <w:r>
      <w:rPr>
        <w:sz w:val="16"/>
        <w:szCs w:val="16"/>
      </w:rPr>
      <w:t xml:space="preserve">- </w:t>
    </w:r>
    <w:r>
      <w:rPr>
        <w:rStyle w:val="Numeropagina"/>
        <w:sz w:val="16"/>
        <w:szCs w:val="16"/>
      </w:rPr>
      <w:fldChar w:fldCharType="begin"/>
    </w:r>
    <w:r>
      <w:rPr>
        <w:rStyle w:val="Numeropagina"/>
        <w:sz w:val="16"/>
        <w:szCs w:val="16"/>
      </w:rPr>
      <w:instrText xml:space="preserve"> PAGE </w:instrText>
    </w:r>
    <w:r>
      <w:rPr>
        <w:rStyle w:val="Numeropagina"/>
        <w:sz w:val="16"/>
        <w:szCs w:val="16"/>
      </w:rPr>
      <w:fldChar w:fldCharType="separate"/>
    </w:r>
    <w:r w:rsidR="00B120A6">
      <w:rPr>
        <w:rStyle w:val="Numeropagina"/>
        <w:noProof/>
        <w:sz w:val="16"/>
        <w:szCs w:val="16"/>
      </w:rPr>
      <w:t>2</w:t>
    </w:r>
    <w:r>
      <w:rPr>
        <w:rStyle w:val="Numeropagina"/>
        <w:sz w:val="16"/>
        <w:szCs w:val="16"/>
      </w:rPr>
      <w:fldChar w:fldCharType="end"/>
    </w:r>
    <w:r>
      <w:rPr>
        <w:rStyle w:val="Numeropagina"/>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58E82" w14:textId="77777777" w:rsidR="00E75F1D" w:rsidRDefault="00E75F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CCCB2" w14:textId="77777777" w:rsidR="00A858B0" w:rsidRDefault="00A858B0">
      <w:r>
        <w:separator/>
      </w:r>
    </w:p>
  </w:footnote>
  <w:footnote w:type="continuationSeparator" w:id="0">
    <w:p w14:paraId="2E556D49" w14:textId="77777777" w:rsidR="00A858B0" w:rsidRDefault="00A85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5FCC" w14:textId="77777777" w:rsidR="00E75F1D" w:rsidRDefault="00E75F1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2F19C" w14:textId="34309879" w:rsidR="00BA5023" w:rsidRDefault="00BA5023" w:rsidP="00BA5023">
    <w:pPr>
      <w:pStyle w:val="Intestazione"/>
      <w:tabs>
        <w:tab w:val="clear" w:pos="4819"/>
        <w:tab w:val="clear" w:pos="9638"/>
      </w:tabs>
      <w:spacing w:before="40"/>
      <w:jc w:val="center"/>
    </w:pPr>
    <w:r>
      <w:rPr>
        <w:noProof/>
        <w:lang w:eastAsia="it-IT"/>
      </w:rPr>
      <w:drawing>
        <wp:anchor distT="0" distB="0" distL="114935" distR="114935" simplePos="0" relativeHeight="251660288" behindDoc="0" locked="0" layoutInCell="1" allowOverlap="1" wp14:anchorId="7540E142" wp14:editId="6FBED2CB">
          <wp:simplePos x="0" y="0"/>
          <wp:positionH relativeFrom="column">
            <wp:posOffset>229870</wp:posOffset>
          </wp:positionH>
          <wp:positionV relativeFrom="paragraph">
            <wp:posOffset>-12517</wp:posOffset>
          </wp:positionV>
          <wp:extent cx="629920" cy="608782"/>
          <wp:effectExtent l="0" t="0" r="5080" b="1270"/>
          <wp:wrapNone/>
          <wp:docPr id="1" name="Oggetto 1" descr="Logo Ospedale Santa Casa di Misericordia in Vero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ggetto 1" descr="Logo Ospedale Santa Casa di Misericordia in Verona"/>
                  <pic:cNvPicPr>
                    <a:picLocks/>
                  </pic:cNvPicPr>
                </pic:nvPicPr>
                <pic:blipFill rotWithShape="1">
                  <a:blip r:embed="rId1">
                    <a:extLst>
                      <a:ext uri="{28A0092B-C50C-407E-A947-70E740481C1C}">
                        <a14:useLocalDpi xmlns:a14="http://schemas.microsoft.com/office/drawing/2010/main" val="0"/>
                      </a:ext>
                    </a:extLst>
                  </a:blip>
                  <a:srcRect l="4259" t="-29" r="-26" b="7470"/>
                  <a:stretch>
                    <a:fillRect/>
                  </a:stretch>
                </pic:blipFill>
                <pic:spPr bwMode="auto">
                  <a:xfrm>
                    <a:off x="0" y="0"/>
                    <a:ext cx="632507" cy="611282"/>
                  </a:xfrm>
                  <a:prstGeom prst="rect">
                    <a:avLst/>
                  </a:prstGeom>
                  <a:solidFill>
                    <a:srgbClr val="FFFFFF">
                      <a:alpha val="0"/>
                    </a:srgbClr>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935" distR="114935" simplePos="0" relativeHeight="251659264" behindDoc="0" locked="0" layoutInCell="1" allowOverlap="1" wp14:anchorId="50383CAB" wp14:editId="15CF4DF9">
          <wp:simplePos x="0" y="0"/>
          <wp:positionH relativeFrom="column">
            <wp:posOffset>5384800</wp:posOffset>
          </wp:positionH>
          <wp:positionV relativeFrom="paragraph">
            <wp:posOffset>-8255</wp:posOffset>
          </wp:positionV>
          <wp:extent cx="574675" cy="574675"/>
          <wp:effectExtent l="0" t="0" r="0" b="0"/>
          <wp:wrapNone/>
          <wp:docPr id="2" name="Immagine 1" descr="Logo Università degli Studi di Vero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magine 1" descr="Logo Università degli Studi di Verona"/>
                  <pic:cNvPicPr>
                    <a:picLocks/>
                  </pic:cNvPicPr>
                </pic:nvPicPr>
                <pic:blipFill>
                  <a:blip r:embed="rId2">
                    <a:extLst>
                      <a:ext uri="{28A0092B-C50C-407E-A947-70E740481C1C}">
                        <a14:useLocalDpi xmlns:a14="http://schemas.microsoft.com/office/drawing/2010/main" val="0"/>
                      </a:ext>
                    </a:extLst>
                  </a:blip>
                  <a:srcRect l="-11" t="-11" r="-11" b="-11"/>
                  <a:stretch>
                    <a:fillRect/>
                  </a:stretch>
                </pic:blipFill>
                <pic:spPr bwMode="auto">
                  <a:xfrm>
                    <a:off x="0" y="0"/>
                    <a:ext cx="574675" cy="5746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sz w:val="26"/>
        <w:szCs w:val="26"/>
      </w:rPr>
      <w:t>AZIENDA OSPEDALIERA UNIVERSITARIA INTEGRATA</w:t>
    </w:r>
  </w:p>
  <w:p w14:paraId="07ABD8D3" w14:textId="7734EBE9" w:rsidR="00BA5023" w:rsidRDefault="00BA5023" w:rsidP="00BA5023">
    <w:pPr>
      <w:pStyle w:val="Intestazione"/>
      <w:tabs>
        <w:tab w:val="clear" w:pos="4819"/>
        <w:tab w:val="clear" w:pos="9638"/>
      </w:tabs>
      <w:spacing w:before="20" w:after="40"/>
      <w:jc w:val="center"/>
    </w:pPr>
    <w:r>
      <w:rPr>
        <w:sz w:val="26"/>
        <w:szCs w:val="26"/>
      </w:rPr>
      <w:t>VERONA</w:t>
    </w:r>
  </w:p>
  <w:p w14:paraId="66A9C063" w14:textId="037D80D1" w:rsidR="00BA5023" w:rsidRDefault="00BA5023" w:rsidP="00BA5023">
    <w:pPr>
      <w:pStyle w:val="Intestazione"/>
      <w:tabs>
        <w:tab w:val="clear" w:pos="4819"/>
        <w:tab w:val="clear" w:pos="9638"/>
      </w:tabs>
      <w:spacing w:before="40" w:after="40"/>
      <w:jc w:val="center"/>
    </w:pPr>
    <w:r>
      <w:t>(D.</w:t>
    </w:r>
    <w:r w:rsidR="00E32BA5">
      <w:t xml:space="preserve"> </w:t>
    </w:r>
    <w:r>
      <w:t>Lgs. n. 517/1999 - Art. 3 L.R. Veneto n. 18/2009)</w:t>
    </w:r>
  </w:p>
  <w:tbl>
    <w:tblPr>
      <w:tblW w:w="9778" w:type="dxa"/>
      <w:jc w:val="center"/>
      <w:tblLayout w:type="fixed"/>
      <w:tblLook w:val="0000" w:firstRow="0" w:lastRow="0" w:firstColumn="0" w:lastColumn="0" w:noHBand="0" w:noVBand="0"/>
    </w:tblPr>
    <w:tblGrid>
      <w:gridCol w:w="9778"/>
    </w:tblGrid>
    <w:tr w:rsidR="00BA5023" w14:paraId="3F3BD800" w14:textId="77777777" w:rsidTr="00131B5A">
      <w:trPr>
        <w:jc w:val="center"/>
      </w:trPr>
      <w:tc>
        <w:tcPr>
          <w:tcW w:w="9778" w:type="dxa"/>
          <w:tcBorders>
            <w:top w:val="single" w:sz="4" w:space="0" w:color="000000"/>
            <w:bottom w:val="single" w:sz="4" w:space="0" w:color="000000"/>
          </w:tcBorders>
        </w:tcPr>
        <w:p w14:paraId="1946767A" w14:textId="6BF3AB32" w:rsidR="00BA5023" w:rsidRDefault="00BA5023" w:rsidP="00BA5023">
          <w:pPr>
            <w:pStyle w:val="Intestazione"/>
            <w:tabs>
              <w:tab w:val="clear" w:pos="4819"/>
              <w:tab w:val="clear" w:pos="9638"/>
            </w:tabs>
            <w:spacing w:before="60" w:after="60"/>
            <w:jc w:val="center"/>
          </w:pPr>
          <w:r>
            <w:rPr>
              <w:rFonts w:ascii="Century Gothic" w:hAnsi="Century Gothic" w:cs="Century Gothic"/>
              <w:b/>
            </w:rPr>
            <w:t>Ufficio Comunicazione Esterna e Stampa</w:t>
          </w:r>
        </w:p>
      </w:tc>
    </w:tr>
  </w:tbl>
  <w:p w14:paraId="7B7F3CFA" w14:textId="77777777" w:rsidR="00E22C6C" w:rsidRPr="00713A61" w:rsidRDefault="00E22C6C" w:rsidP="00E22C6C">
    <w:pPr>
      <w:pStyle w:val="Intestazione"/>
      <w:tabs>
        <w:tab w:val="clear" w:pos="4819"/>
        <w:tab w:val="clear" w:pos="9638"/>
      </w:tabs>
      <w:spacing w:before="60" w:after="60"/>
      <w:rPr>
        <w:rFonts w:ascii="Century Gothic" w:hAnsi="Century Gothic" w:cs="Century Gothic"/>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26641" w14:textId="77777777" w:rsidR="00E75F1D" w:rsidRDefault="00E75F1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3452AA"/>
    <w:multiLevelType w:val="hybridMultilevel"/>
    <w:tmpl w:val="2AFC6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3AF"/>
    <w:rsid w:val="00005E90"/>
    <w:rsid w:val="000168B2"/>
    <w:rsid w:val="00016F15"/>
    <w:rsid w:val="000337FB"/>
    <w:rsid w:val="000446CC"/>
    <w:rsid w:val="00044B43"/>
    <w:rsid w:val="00044DDB"/>
    <w:rsid w:val="0005031B"/>
    <w:rsid w:val="00052B8C"/>
    <w:rsid w:val="000660BF"/>
    <w:rsid w:val="00067F6E"/>
    <w:rsid w:val="00071B73"/>
    <w:rsid w:val="00076CA5"/>
    <w:rsid w:val="000819D0"/>
    <w:rsid w:val="000972EB"/>
    <w:rsid w:val="000A5B85"/>
    <w:rsid w:val="000B2E1D"/>
    <w:rsid w:val="000B2EB4"/>
    <w:rsid w:val="000C0821"/>
    <w:rsid w:val="000D1844"/>
    <w:rsid w:val="000D19DE"/>
    <w:rsid w:val="000F4393"/>
    <w:rsid w:val="000F5FA6"/>
    <w:rsid w:val="000F75FE"/>
    <w:rsid w:val="001074C9"/>
    <w:rsid w:val="00107F96"/>
    <w:rsid w:val="001155FF"/>
    <w:rsid w:val="0012657B"/>
    <w:rsid w:val="00126DB0"/>
    <w:rsid w:val="00131701"/>
    <w:rsid w:val="00131B5A"/>
    <w:rsid w:val="00135077"/>
    <w:rsid w:val="00137A74"/>
    <w:rsid w:val="00142FEC"/>
    <w:rsid w:val="00150CB8"/>
    <w:rsid w:val="001539EE"/>
    <w:rsid w:val="00154960"/>
    <w:rsid w:val="00163EF3"/>
    <w:rsid w:val="00171491"/>
    <w:rsid w:val="00175E76"/>
    <w:rsid w:val="00186FDF"/>
    <w:rsid w:val="00193D00"/>
    <w:rsid w:val="00195263"/>
    <w:rsid w:val="001A34F6"/>
    <w:rsid w:val="001A7856"/>
    <w:rsid w:val="001B222B"/>
    <w:rsid w:val="001B3A4C"/>
    <w:rsid w:val="001C0E3D"/>
    <w:rsid w:val="001C1E8B"/>
    <w:rsid w:val="001C4E07"/>
    <w:rsid w:val="001C5F18"/>
    <w:rsid w:val="001C602D"/>
    <w:rsid w:val="001D6619"/>
    <w:rsid w:val="001E6C09"/>
    <w:rsid w:val="001E6E94"/>
    <w:rsid w:val="002035AF"/>
    <w:rsid w:val="00211E79"/>
    <w:rsid w:val="0021265E"/>
    <w:rsid w:val="00213697"/>
    <w:rsid w:val="00215F4A"/>
    <w:rsid w:val="00220E80"/>
    <w:rsid w:val="00232800"/>
    <w:rsid w:val="002422BA"/>
    <w:rsid w:val="00251022"/>
    <w:rsid w:val="002525C2"/>
    <w:rsid w:val="00256D92"/>
    <w:rsid w:val="00261A18"/>
    <w:rsid w:val="0026507D"/>
    <w:rsid w:val="002657E0"/>
    <w:rsid w:val="00272800"/>
    <w:rsid w:val="00281D76"/>
    <w:rsid w:val="00291148"/>
    <w:rsid w:val="002955DF"/>
    <w:rsid w:val="002A6D44"/>
    <w:rsid w:val="002A76EF"/>
    <w:rsid w:val="002B0FD3"/>
    <w:rsid w:val="002B5517"/>
    <w:rsid w:val="002C439C"/>
    <w:rsid w:val="002C531E"/>
    <w:rsid w:val="002D1BC7"/>
    <w:rsid w:val="002D5DFA"/>
    <w:rsid w:val="002E03E2"/>
    <w:rsid w:val="002E09BB"/>
    <w:rsid w:val="002E1AC4"/>
    <w:rsid w:val="002E309A"/>
    <w:rsid w:val="00300BA8"/>
    <w:rsid w:val="00304E1B"/>
    <w:rsid w:val="00322772"/>
    <w:rsid w:val="00326A41"/>
    <w:rsid w:val="00330B0F"/>
    <w:rsid w:val="00334395"/>
    <w:rsid w:val="00334DBD"/>
    <w:rsid w:val="00340F1F"/>
    <w:rsid w:val="0034525B"/>
    <w:rsid w:val="003578DD"/>
    <w:rsid w:val="00364CE1"/>
    <w:rsid w:val="003656B7"/>
    <w:rsid w:val="0036769C"/>
    <w:rsid w:val="00380F37"/>
    <w:rsid w:val="003822EA"/>
    <w:rsid w:val="00385F98"/>
    <w:rsid w:val="003878DA"/>
    <w:rsid w:val="00387F33"/>
    <w:rsid w:val="0039096F"/>
    <w:rsid w:val="00391F75"/>
    <w:rsid w:val="003949E3"/>
    <w:rsid w:val="003A03EE"/>
    <w:rsid w:val="003A0AA8"/>
    <w:rsid w:val="003A357D"/>
    <w:rsid w:val="003B17E5"/>
    <w:rsid w:val="003C5DF5"/>
    <w:rsid w:val="003C7B4E"/>
    <w:rsid w:val="003D19E7"/>
    <w:rsid w:val="003E7C18"/>
    <w:rsid w:val="003E7CD4"/>
    <w:rsid w:val="003F4AC0"/>
    <w:rsid w:val="003F7BAD"/>
    <w:rsid w:val="00403BFE"/>
    <w:rsid w:val="00411640"/>
    <w:rsid w:val="004258AA"/>
    <w:rsid w:val="00426A95"/>
    <w:rsid w:val="004339E2"/>
    <w:rsid w:val="00434B3E"/>
    <w:rsid w:val="00435984"/>
    <w:rsid w:val="00435D36"/>
    <w:rsid w:val="004477FF"/>
    <w:rsid w:val="00447C91"/>
    <w:rsid w:val="0045330F"/>
    <w:rsid w:val="004607E9"/>
    <w:rsid w:val="004642C6"/>
    <w:rsid w:val="00467D83"/>
    <w:rsid w:val="00470CA4"/>
    <w:rsid w:val="00471005"/>
    <w:rsid w:val="0047167A"/>
    <w:rsid w:val="00472792"/>
    <w:rsid w:val="00472A5B"/>
    <w:rsid w:val="00473C29"/>
    <w:rsid w:val="00473F0E"/>
    <w:rsid w:val="00476FB4"/>
    <w:rsid w:val="0048350B"/>
    <w:rsid w:val="00492133"/>
    <w:rsid w:val="00495F87"/>
    <w:rsid w:val="004962E5"/>
    <w:rsid w:val="004A0398"/>
    <w:rsid w:val="004C3357"/>
    <w:rsid w:val="004D79FF"/>
    <w:rsid w:val="004E54B1"/>
    <w:rsid w:val="004F54EB"/>
    <w:rsid w:val="00500082"/>
    <w:rsid w:val="005014B8"/>
    <w:rsid w:val="00510E3E"/>
    <w:rsid w:val="0051496B"/>
    <w:rsid w:val="00522EE0"/>
    <w:rsid w:val="0052520E"/>
    <w:rsid w:val="00531503"/>
    <w:rsid w:val="00534F98"/>
    <w:rsid w:val="00535E97"/>
    <w:rsid w:val="00541E00"/>
    <w:rsid w:val="00542020"/>
    <w:rsid w:val="00553B6F"/>
    <w:rsid w:val="005557B7"/>
    <w:rsid w:val="00556ED6"/>
    <w:rsid w:val="00561232"/>
    <w:rsid w:val="00566947"/>
    <w:rsid w:val="0057595C"/>
    <w:rsid w:val="005778AA"/>
    <w:rsid w:val="00590417"/>
    <w:rsid w:val="00592D31"/>
    <w:rsid w:val="00595025"/>
    <w:rsid w:val="005A08CF"/>
    <w:rsid w:val="005A1D34"/>
    <w:rsid w:val="005C25DD"/>
    <w:rsid w:val="005C6023"/>
    <w:rsid w:val="005E3FFF"/>
    <w:rsid w:val="005E4D16"/>
    <w:rsid w:val="005F3128"/>
    <w:rsid w:val="005F5F0F"/>
    <w:rsid w:val="0060241B"/>
    <w:rsid w:val="00603F95"/>
    <w:rsid w:val="00606DC7"/>
    <w:rsid w:val="00612389"/>
    <w:rsid w:val="0061521E"/>
    <w:rsid w:val="0061584F"/>
    <w:rsid w:val="00620404"/>
    <w:rsid w:val="006213F7"/>
    <w:rsid w:val="0062639C"/>
    <w:rsid w:val="00626CD5"/>
    <w:rsid w:val="006270B3"/>
    <w:rsid w:val="006271B4"/>
    <w:rsid w:val="00644AEC"/>
    <w:rsid w:val="006467E4"/>
    <w:rsid w:val="00650510"/>
    <w:rsid w:val="006534AA"/>
    <w:rsid w:val="00655D4D"/>
    <w:rsid w:val="00661363"/>
    <w:rsid w:val="00665EC3"/>
    <w:rsid w:val="00672293"/>
    <w:rsid w:val="00674BC5"/>
    <w:rsid w:val="006837B6"/>
    <w:rsid w:val="00694E7C"/>
    <w:rsid w:val="00696005"/>
    <w:rsid w:val="00696531"/>
    <w:rsid w:val="006A0F88"/>
    <w:rsid w:val="006A21A2"/>
    <w:rsid w:val="006B16A8"/>
    <w:rsid w:val="006B1D75"/>
    <w:rsid w:val="006B1F1C"/>
    <w:rsid w:val="006B3F2B"/>
    <w:rsid w:val="006B483F"/>
    <w:rsid w:val="006B63A7"/>
    <w:rsid w:val="006C191D"/>
    <w:rsid w:val="006C3A76"/>
    <w:rsid w:val="006C5801"/>
    <w:rsid w:val="006C5A3D"/>
    <w:rsid w:val="006D0750"/>
    <w:rsid w:val="006D7F31"/>
    <w:rsid w:val="006E2173"/>
    <w:rsid w:val="006F297B"/>
    <w:rsid w:val="006F493E"/>
    <w:rsid w:val="006F7608"/>
    <w:rsid w:val="00700B07"/>
    <w:rsid w:val="0070190E"/>
    <w:rsid w:val="00701E98"/>
    <w:rsid w:val="0070381B"/>
    <w:rsid w:val="00703D50"/>
    <w:rsid w:val="00707657"/>
    <w:rsid w:val="007131A7"/>
    <w:rsid w:val="00713A61"/>
    <w:rsid w:val="00713DD1"/>
    <w:rsid w:val="00722B4D"/>
    <w:rsid w:val="00722C0B"/>
    <w:rsid w:val="00726A76"/>
    <w:rsid w:val="007316D7"/>
    <w:rsid w:val="00731C76"/>
    <w:rsid w:val="00732B7F"/>
    <w:rsid w:val="00734DF2"/>
    <w:rsid w:val="00736EE7"/>
    <w:rsid w:val="00741D85"/>
    <w:rsid w:val="00743288"/>
    <w:rsid w:val="00744627"/>
    <w:rsid w:val="0075445B"/>
    <w:rsid w:val="00763FCC"/>
    <w:rsid w:val="00776148"/>
    <w:rsid w:val="00783AB7"/>
    <w:rsid w:val="007A2E1C"/>
    <w:rsid w:val="007B0A79"/>
    <w:rsid w:val="007B4F28"/>
    <w:rsid w:val="007B545E"/>
    <w:rsid w:val="007B71FE"/>
    <w:rsid w:val="007D1651"/>
    <w:rsid w:val="007D1C63"/>
    <w:rsid w:val="007D2F89"/>
    <w:rsid w:val="007D36BA"/>
    <w:rsid w:val="007D4E55"/>
    <w:rsid w:val="007E1D87"/>
    <w:rsid w:val="007E342D"/>
    <w:rsid w:val="007E5444"/>
    <w:rsid w:val="007F318B"/>
    <w:rsid w:val="007F6F78"/>
    <w:rsid w:val="007F70C6"/>
    <w:rsid w:val="0080618A"/>
    <w:rsid w:val="00811322"/>
    <w:rsid w:val="0081167A"/>
    <w:rsid w:val="00816DE9"/>
    <w:rsid w:val="00821C9B"/>
    <w:rsid w:val="0082737E"/>
    <w:rsid w:val="0082778A"/>
    <w:rsid w:val="00830092"/>
    <w:rsid w:val="00832A0A"/>
    <w:rsid w:val="008333A8"/>
    <w:rsid w:val="00840A2E"/>
    <w:rsid w:val="008430AC"/>
    <w:rsid w:val="00843F71"/>
    <w:rsid w:val="00844796"/>
    <w:rsid w:val="008521E4"/>
    <w:rsid w:val="00854337"/>
    <w:rsid w:val="00857602"/>
    <w:rsid w:val="00861987"/>
    <w:rsid w:val="0086411B"/>
    <w:rsid w:val="00864AF0"/>
    <w:rsid w:val="00875E36"/>
    <w:rsid w:val="008806E4"/>
    <w:rsid w:val="00880F98"/>
    <w:rsid w:val="00883AA0"/>
    <w:rsid w:val="00894F8F"/>
    <w:rsid w:val="00896BFB"/>
    <w:rsid w:val="008A1F74"/>
    <w:rsid w:val="008B3D18"/>
    <w:rsid w:val="008C5476"/>
    <w:rsid w:val="008D1E1E"/>
    <w:rsid w:val="008F0A38"/>
    <w:rsid w:val="008F0A83"/>
    <w:rsid w:val="008F3850"/>
    <w:rsid w:val="008F5CE8"/>
    <w:rsid w:val="008F62E9"/>
    <w:rsid w:val="00904ED4"/>
    <w:rsid w:val="00910F3B"/>
    <w:rsid w:val="009119B9"/>
    <w:rsid w:val="00914144"/>
    <w:rsid w:val="009160E3"/>
    <w:rsid w:val="00917B21"/>
    <w:rsid w:val="00917CA3"/>
    <w:rsid w:val="00922B6E"/>
    <w:rsid w:val="00925F41"/>
    <w:rsid w:val="00926B36"/>
    <w:rsid w:val="00931781"/>
    <w:rsid w:val="00935648"/>
    <w:rsid w:val="00941567"/>
    <w:rsid w:val="00945CFD"/>
    <w:rsid w:val="009521EE"/>
    <w:rsid w:val="00954825"/>
    <w:rsid w:val="009575E1"/>
    <w:rsid w:val="0096197D"/>
    <w:rsid w:val="009776B7"/>
    <w:rsid w:val="009824CE"/>
    <w:rsid w:val="00982744"/>
    <w:rsid w:val="009A1E67"/>
    <w:rsid w:val="009A65F4"/>
    <w:rsid w:val="009B19B7"/>
    <w:rsid w:val="009B484E"/>
    <w:rsid w:val="009B4944"/>
    <w:rsid w:val="009B6A29"/>
    <w:rsid w:val="009C4547"/>
    <w:rsid w:val="009C55E6"/>
    <w:rsid w:val="009D099A"/>
    <w:rsid w:val="009D3387"/>
    <w:rsid w:val="009D64F6"/>
    <w:rsid w:val="009D703D"/>
    <w:rsid w:val="009E1F53"/>
    <w:rsid w:val="009E6E09"/>
    <w:rsid w:val="009E7E75"/>
    <w:rsid w:val="009F1CD4"/>
    <w:rsid w:val="009F4E72"/>
    <w:rsid w:val="00A029FE"/>
    <w:rsid w:val="00A03439"/>
    <w:rsid w:val="00A03AFD"/>
    <w:rsid w:val="00A16781"/>
    <w:rsid w:val="00A26749"/>
    <w:rsid w:val="00A3288F"/>
    <w:rsid w:val="00A338A1"/>
    <w:rsid w:val="00A345D2"/>
    <w:rsid w:val="00A45471"/>
    <w:rsid w:val="00A472C6"/>
    <w:rsid w:val="00A5491E"/>
    <w:rsid w:val="00A571C0"/>
    <w:rsid w:val="00A6565B"/>
    <w:rsid w:val="00A6626D"/>
    <w:rsid w:val="00A6664E"/>
    <w:rsid w:val="00A66BC4"/>
    <w:rsid w:val="00A71D21"/>
    <w:rsid w:val="00A72ED0"/>
    <w:rsid w:val="00A817B3"/>
    <w:rsid w:val="00A858B0"/>
    <w:rsid w:val="00A94E9F"/>
    <w:rsid w:val="00AA5E4C"/>
    <w:rsid w:val="00AB1382"/>
    <w:rsid w:val="00AB3C51"/>
    <w:rsid w:val="00AC1A26"/>
    <w:rsid w:val="00AC21DD"/>
    <w:rsid w:val="00AC7CB2"/>
    <w:rsid w:val="00AD06B0"/>
    <w:rsid w:val="00AD0FCD"/>
    <w:rsid w:val="00AD482B"/>
    <w:rsid w:val="00AE0406"/>
    <w:rsid w:val="00AE216D"/>
    <w:rsid w:val="00AE7CD4"/>
    <w:rsid w:val="00AF32CF"/>
    <w:rsid w:val="00B120A6"/>
    <w:rsid w:val="00B14F5A"/>
    <w:rsid w:val="00B15A3D"/>
    <w:rsid w:val="00B20C9A"/>
    <w:rsid w:val="00B2468F"/>
    <w:rsid w:val="00B30658"/>
    <w:rsid w:val="00B31A7C"/>
    <w:rsid w:val="00B4060A"/>
    <w:rsid w:val="00B45CF0"/>
    <w:rsid w:val="00B6215F"/>
    <w:rsid w:val="00B6242F"/>
    <w:rsid w:val="00B64EE7"/>
    <w:rsid w:val="00B65E1E"/>
    <w:rsid w:val="00B66B71"/>
    <w:rsid w:val="00B66F65"/>
    <w:rsid w:val="00B71904"/>
    <w:rsid w:val="00B73932"/>
    <w:rsid w:val="00B73BCF"/>
    <w:rsid w:val="00B8523C"/>
    <w:rsid w:val="00B85C8C"/>
    <w:rsid w:val="00B901A1"/>
    <w:rsid w:val="00B91103"/>
    <w:rsid w:val="00B912CA"/>
    <w:rsid w:val="00B949FB"/>
    <w:rsid w:val="00BA5023"/>
    <w:rsid w:val="00BA71D6"/>
    <w:rsid w:val="00BB6917"/>
    <w:rsid w:val="00BC0081"/>
    <w:rsid w:val="00BC4B05"/>
    <w:rsid w:val="00BC550C"/>
    <w:rsid w:val="00BC6A91"/>
    <w:rsid w:val="00BC76ED"/>
    <w:rsid w:val="00BD2A6E"/>
    <w:rsid w:val="00BE0706"/>
    <w:rsid w:val="00BE2B97"/>
    <w:rsid w:val="00BE58AE"/>
    <w:rsid w:val="00BE6B57"/>
    <w:rsid w:val="00BF0FF9"/>
    <w:rsid w:val="00BF2B6C"/>
    <w:rsid w:val="00C00CD9"/>
    <w:rsid w:val="00C05A0C"/>
    <w:rsid w:val="00C22A90"/>
    <w:rsid w:val="00C349CD"/>
    <w:rsid w:val="00C43D27"/>
    <w:rsid w:val="00C81136"/>
    <w:rsid w:val="00C92FC6"/>
    <w:rsid w:val="00C930D5"/>
    <w:rsid w:val="00CA31E8"/>
    <w:rsid w:val="00CA6F49"/>
    <w:rsid w:val="00CC09D0"/>
    <w:rsid w:val="00CE0342"/>
    <w:rsid w:val="00CF1EB2"/>
    <w:rsid w:val="00CF41B1"/>
    <w:rsid w:val="00CF67E4"/>
    <w:rsid w:val="00D02802"/>
    <w:rsid w:val="00D049C0"/>
    <w:rsid w:val="00D05C74"/>
    <w:rsid w:val="00D12011"/>
    <w:rsid w:val="00D15BB2"/>
    <w:rsid w:val="00D23B55"/>
    <w:rsid w:val="00D27D2B"/>
    <w:rsid w:val="00D46C30"/>
    <w:rsid w:val="00D47BC5"/>
    <w:rsid w:val="00D50914"/>
    <w:rsid w:val="00D75A84"/>
    <w:rsid w:val="00D775EB"/>
    <w:rsid w:val="00D817E7"/>
    <w:rsid w:val="00D84103"/>
    <w:rsid w:val="00D86E7E"/>
    <w:rsid w:val="00D90207"/>
    <w:rsid w:val="00D9214F"/>
    <w:rsid w:val="00D935EF"/>
    <w:rsid w:val="00DC449B"/>
    <w:rsid w:val="00DC5946"/>
    <w:rsid w:val="00DC7DC5"/>
    <w:rsid w:val="00DD4224"/>
    <w:rsid w:val="00DD63AF"/>
    <w:rsid w:val="00DD739D"/>
    <w:rsid w:val="00DE14DF"/>
    <w:rsid w:val="00DE70E0"/>
    <w:rsid w:val="00E02815"/>
    <w:rsid w:val="00E03611"/>
    <w:rsid w:val="00E1135B"/>
    <w:rsid w:val="00E12EBE"/>
    <w:rsid w:val="00E12ECD"/>
    <w:rsid w:val="00E214BC"/>
    <w:rsid w:val="00E22C6C"/>
    <w:rsid w:val="00E24D52"/>
    <w:rsid w:val="00E254A1"/>
    <w:rsid w:val="00E25CB6"/>
    <w:rsid w:val="00E307A7"/>
    <w:rsid w:val="00E32BA5"/>
    <w:rsid w:val="00E40956"/>
    <w:rsid w:val="00E40A0C"/>
    <w:rsid w:val="00E45F1F"/>
    <w:rsid w:val="00E506D3"/>
    <w:rsid w:val="00E51078"/>
    <w:rsid w:val="00E53464"/>
    <w:rsid w:val="00E54BD9"/>
    <w:rsid w:val="00E57256"/>
    <w:rsid w:val="00E7016A"/>
    <w:rsid w:val="00E713AE"/>
    <w:rsid w:val="00E72687"/>
    <w:rsid w:val="00E75F1D"/>
    <w:rsid w:val="00E80FB8"/>
    <w:rsid w:val="00E823EC"/>
    <w:rsid w:val="00E84420"/>
    <w:rsid w:val="00E96F6B"/>
    <w:rsid w:val="00EA34CA"/>
    <w:rsid w:val="00EA3680"/>
    <w:rsid w:val="00EA36AA"/>
    <w:rsid w:val="00EB2F96"/>
    <w:rsid w:val="00EC69E8"/>
    <w:rsid w:val="00EC72B1"/>
    <w:rsid w:val="00EC7F78"/>
    <w:rsid w:val="00EE6DFB"/>
    <w:rsid w:val="00EE7A9F"/>
    <w:rsid w:val="00EF5441"/>
    <w:rsid w:val="00F00774"/>
    <w:rsid w:val="00F16446"/>
    <w:rsid w:val="00F250E1"/>
    <w:rsid w:val="00F259C9"/>
    <w:rsid w:val="00F25D74"/>
    <w:rsid w:val="00F30597"/>
    <w:rsid w:val="00F30F1B"/>
    <w:rsid w:val="00F3661F"/>
    <w:rsid w:val="00F3670F"/>
    <w:rsid w:val="00F4463F"/>
    <w:rsid w:val="00F54E47"/>
    <w:rsid w:val="00F55326"/>
    <w:rsid w:val="00F60257"/>
    <w:rsid w:val="00F750B0"/>
    <w:rsid w:val="00F75ED1"/>
    <w:rsid w:val="00F80C10"/>
    <w:rsid w:val="00F810D1"/>
    <w:rsid w:val="00F92889"/>
    <w:rsid w:val="00F93BF3"/>
    <w:rsid w:val="00F94114"/>
    <w:rsid w:val="00FA0225"/>
    <w:rsid w:val="00FA322B"/>
    <w:rsid w:val="00FA530D"/>
    <w:rsid w:val="00FB6122"/>
    <w:rsid w:val="00FC27A8"/>
    <w:rsid w:val="00FC438A"/>
    <w:rsid w:val="00FF71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93A3D4"/>
  <w15:chartTrackingRefBased/>
  <w15:docId w15:val="{5708FD95-4067-D645-9383-81198AA5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lang w:eastAsia="zh-C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Menzionenonrisolta1">
    <w:name w:val="Menzione non risolta1"/>
    <w:rPr>
      <w:color w:val="605E5C"/>
      <w:shd w:val="clear" w:color="auto" w:fill="E1DFDD"/>
    </w:rPr>
  </w:style>
  <w:style w:type="character" w:customStyle="1" w:styleId="TitoloCarattere">
    <w:name w:val="Titolo Carattere"/>
    <w:rPr>
      <w:rFonts w:ascii="Calibri Light" w:eastAsia="Times New Roman" w:hAnsi="Calibri Light" w:cs="Times New Roman"/>
      <w:b/>
      <w:bCs/>
      <w:kern w:val="2"/>
      <w:sz w:val="32"/>
      <w:szCs w:val="32"/>
    </w:rPr>
  </w:style>
  <w:style w:type="character" w:customStyle="1" w:styleId="SottotitoloCarattere">
    <w:name w:val="Sottotitolo Carattere"/>
    <w:rPr>
      <w:rFonts w:ascii="Calibri Light" w:eastAsia="Times New Roman" w:hAnsi="Calibri Light" w:cs="Times New Roman"/>
      <w:sz w:val="24"/>
      <w:szCs w:val="24"/>
    </w:rPr>
  </w:style>
  <w:style w:type="character" w:styleId="Enfasigrassetto">
    <w:name w:val="Strong"/>
    <w:uiPriority w:val="22"/>
    <w:qFormat/>
    <w:rPr>
      <w:b/>
      <w:bCs/>
    </w:rPr>
  </w:style>
  <w:style w:type="paragraph" w:customStyle="1" w:styleId="Titolo1">
    <w:name w:val="Titolo1"/>
    <w:basedOn w:val="Normale"/>
    <w:next w:val="Normale"/>
    <w:pPr>
      <w:spacing w:before="240" w:after="60"/>
      <w:jc w:val="center"/>
    </w:pPr>
    <w:rPr>
      <w:rFonts w:ascii="Calibri Light" w:hAnsi="Calibri Light"/>
      <w:b/>
      <w:bCs/>
      <w:kern w:val="2"/>
      <w:sz w:val="32"/>
      <w:szCs w:val="3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styleId="NormaleWeb">
    <w:name w:val="Normal (Web)"/>
    <w:basedOn w:val="Normale"/>
    <w:pPr>
      <w:spacing w:before="100" w:after="100"/>
    </w:pPr>
    <w:rPr>
      <w:rFonts w:eastAsia="MS Mincho"/>
      <w:kern w:val="2"/>
      <w:sz w:val="24"/>
      <w:szCs w:val="24"/>
      <w:lang w:eastAsia="ja-JP"/>
    </w:rPr>
  </w:style>
  <w:style w:type="paragraph" w:styleId="Sottotitolo">
    <w:name w:val="Subtitle"/>
    <w:basedOn w:val="Normale"/>
    <w:next w:val="Normale"/>
    <w:qFormat/>
    <w:pPr>
      <w:spacing w:after="60"/>
      <w:jc w:val="center"/>
    </w:pPr>
    <w:rPr>
      <w:rFonts w:ascii="Calibri Light" w:hAnsi="Calibri Light"/>
      <w:sz w:val="24"/>
      <w:szCs w:val="24"/>
    </w:rPr>
  </w:style>
  <w:style w:type="paragraph" w:customStyle="1" w:styleId="Contenutotabella">
    <w:name w:val="Contenuto tabella"/>
    <w:basedOn w:val="Normale"/>
    <w:pPr>
      <w:widowControl w:val="0"/>
      <w:suppressLineNumbers/>
    </w:pPr>
  </w:style>
  <w:style w:type="paragraph" w:customStyle="1" w:styleId="Titolotabella">
    <w:name w:val="Titolo tabella"/>
    <w:basedOn w:val="Contenutotabella"/>
    <w:pPr>
      <w:jc w:val="center"/>
    </w:pPr>
    <w:rPr>
      <w:b/>
      <w:bCs/>
    </w:rPr>
  </w:style>
  <w:style w:type="table" w:styleId="Grigliatabella">
    <w:name w:val="Table Grid"/>
    <w:basedOn w:val="Tabellanormale"/>
    <w:uiPriority w:val="39"/>
    <w:rsid w:val="0038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71491"/>
    <w:pPr>
      <w:ind w:left="720"/>
      <w:contextualSpacing/>
    </w:pPr>
  </w:style>
  <w:style w:type="character" w:styleId="Collegamentovisitato">
    <w:name w:val="FollowedHyperlink"/>
    <w:basedOn w:val="Carpredefinitoparagrafo"/>
    <w:uiPriority w:val="99"/>
    <w:semiHidden/>
    <w:unhideWhenUsed/>
    <w:rsid w:val="007D4E55"/>
    <w:rPr>
      <w:color w:val="96607D" w:themeColor="followedHyperlink"/>
      <w:u w:val="single"/>
    </w:rPr>
  </w:style>
  <w:style w:type="paragraph" w:styleId="Testofumetto">
    <w:name w:val="Balloon Text"/>
    <w:basedOn w:val="Normale"/>
    <w:link w:val="TestofumettoCarattere"/>
    <w:uiPriority w:val="99"/>
    <w:semiHidden/>
    <w:unhideWhenUsed/>
    <w:rsid w:val="00A3288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288F"/>
    <w:rPr>
      <w:rFonts w:ascii="Segoe UI" w:hAnsi="Segoe UI" w:cs="Segoe UI"/>
      <w:sz w:val="18"/>
      <w:szCs w:val="18"/>
      <w:lang w:eastAsia="zh-CN"/>
    </w:rPr>
  </w:style>
  <w:style w:type="paragraph" w:styleId="Revisione">
    <w:name w:val="Revision"/>
    <w:hidden/>
    <w:uiPriority w:val="99"/>
    <w:semiHidden/>
    <w:rsid w:val="00E75F1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80122">
      <w:bodyDiv w:val="1"/>
      <w:marLeft w:val="0"/>
      <w:marRight w:val="0"/>
      <w:marTop w:val="0"/>
      <w:marBottom w:val="0"/>
      <w:divBdr>
        <w:top w:val="none" w:sz="0" w:space="0" w:color="auto"/>
        <w:left w:val="none" w:sz="0" w:space="0" w:color="auto"/>
        <w:bottom w:val="none" w:sz="0" w:space="0" w:color="auto"/>
        <w:right w:val="none" w:sz="0" w:space="0" w:color="auto"/>
      </w:divBdr>
    </w:div>
    <w:div w:id="189799361">
      <w:bodyDiv w:val="1"/>
      <w:marLeft w:val="0"/>
      <w:marRight w:val="0"/>
      <w:marTop w:val="0"/>
      <w:marBottom w:val="0"/>
      <w:divBdr>
        <w:top w:val="none" w:sz="0" w:space="0" w:color="auto"/>
        <w:left w:val="none" w:sz="0" w:space="0" w:color="auto"/>
        <w:bottom w:val="none" w:sz="0" w:space="0" w:color="auto"/>
        <w:right w:val="none" w:sz="0" w:space="0" w:color="auto"/>
      </w:divBdr>
      <w:divsChild>
        <w:div w:id="164326131">
          <w:marLeft w:val="0"/>
          <w:marRight w:val="0"/>
          <w:marTop w:val="0"/>
          <w:marBottom w:val="0"/>
          <w:divBdr>
            <w:top w:val="none" w:sz="0" w:space="0" w:color="auto"/>
            <w:left w:val="none" w:sz="0" w:space="0" w:color="auto"/>
            <w:bottom w:val="none" w:sz="0" w:space="0" w:color="auto"/>
            <w:right w:val="none" w:sz="0" w:space="0" w:color="auto"/>
          </w:divBdr>
          <w:divsChild>
            <w:div w:id="963804386">
              <w:marLeft w:val="0"/>
              <w:marRight w:val="0"/>
              <w:marTop w:val="0"/>
              <w:marBottom w:val="0"/>
              <w:divBdr>
                <w:top w:val="none" w:sz="0" w:space="0" w:color="auto"/>
                <w:left w:val="none" w:sz="0" w:space="0" w:color="auto"/>
                <w:bottom w:val="none" w:sz="0" w:space="0" w:color="auto"/>
                <w:right w:val="none" w:sz="0" w:space="0" w:color="auto"/>
              </w:divBdr>
              <w:divsChild>
                <w:div w:id="1860073755">
                  <w:marLeft w:val="0"/>
                  <w:marRight w:val="0"/>
                  <w:marTop w:val="0"/>
                  <w:marBottom w:val="0"/>
                  <w:divBdr>
                    <w:top w:val="none" w:sz="0" w:space="0" w:color="auto"/>
                    <w:left w:val="none" w:sz="0" w:space="0" w:color="auto"/>
                    <w:bottom w:val="none" w:sz="0" w:space="0" w:color="auto"/>
                    <w:right w:val="none" w:sz="0" w:space="0" w:color="auto"/>
                  </w:divBdr>
                  <w:divsChild>
                    <w:div w:id="825974520">
                      <w:marLeft w:val="0"/>
                      <w:marRight w:val="0"/>
                      <w:marTop w:val="0"/>
                      <w:marBottom w:val="0"/>
                      <w:divBdr>
                        <w:top w:val="none" w:sz="0" w:space="0" w:color="auto"/>
                        <w:left w:val="none" w:sz="0" w:space="0" w:color="auto"/>
                        <w:bottom w:val="none" w:sz="0" w:space="0" w:color="auto"/>
                        <w:right w:val="none" w:sz="0" w:space="0" w:color="auto"/>
                      </w:divBdr>
                      <w:divsChild>
                        <w:div w:id="1776711619">
                          <w:marLeft w:val="0"/>
                          <w:marRight w:val="0"/>
                          <w:marTop w:val="0"/>
                          <w:marBottom w:val="0"/>
                          <w:divBdr>
                            <w:top w:val="none" w:sz="0" w:space="0" w:color="auto"/>
                            <w:left w:val="none" w:sz="0" w:space="0" w:color="auto"/>
                            <w:bottom w:val="none" w:sz="0" w:space="0" w:color="auto"/>
                            <w:right w:val="none" w:sz="0" w:space="0" w:color="auto"/>
                          </w:divBdr>
                          <w:divsChild>
                            <w:div w:id="643701991">
                              <w:marLeft w:val="0"/>
                              <w:marRight w:val="0"/>
                              <w:marTop w:val="0"/>
                              <w:marBottom w:val="0"/>
                              <w:divBdr>
                                <w:top w:val="none" w:sz="0" w:space="0" w:color="auto"/>
                                <w:left w:val="none" w:sz="0" w:space="0" w:color="auto"/>
                                <w:bottom w:val="none" w:sz="0" w:space="0" w:color="auto"/>
                                <w:right w:val="none" w:sz="0" w:space="0" w:color="auto"/>
                              </w:divBdr>
                              <w:divsChild>
                                <w:div w:id="85689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8851949">
      <w:bodyDiv w:val="1"/>
      <w:marLeft w:val="0"/>
      <w:marRight w:val="0"/>
      <w:marTop w:val="0"/>
      <w:marBottom w:val="0"/>
      <w:divBdr>
        <w:top w:val="none" w:sz="0" w:space="0" w:color="auto"/>
        <w:left w:val="none" w:sz="0" w:space="0" w:color="auto"/>
        <w:bottom w:val="none" w:sz="0" w:space="0" w:color="auto"/>
        <w:right w:val="none" w:sz="0" w:space="0" w:color="auto"/>
      </w:divBdr>
      <w:divsChild>
        <w:div w:id="88701383">
          <w:marLeft w:val="0"/>
          <w:marRight w:val="0"/>
          <w:marTop w:val="0"/>
          <w:marBottom w:val="0"/>
          <w:divBdr>
            <w:top w:val="none" w:sz="0" w:space="0" w:color="auto"/>
            <w:left w:val="none" w:sz="0" w:space="0" w:color="auto"/>
            <w:bottom w:val="none" w:sz="0" w:space="0" w:color="auto"/>
            <w:right w:val="none" w:sz="0" w:space="0" w:color="auto"/>
          </w:divBdr>
          <w:divsChild>
            <w:div w:id="322394825">
              <w:marLeft w:val="0"/>
              <w:marRight w:val="0"/>
              <w:marTop w:val="0"/>
              <w:marBottom w:val="0"/>
              <w:divBdr>
                <w:top w:val="none" w:sz="0" w:space="0" w:color="auto"/>
                <w:left w:val="none" w:sz="0" w:space="0" w:color="auto"/>
                <w:bottom w:val="none" w:sz="0" w:space="0" w:color="auto"/>
                <w:right w:val="none" w:sz="0" w:space="0" w:color="auto"/>
              </w:divBdr>
            </w:div>
          </w:divsChild>
        </w:div>
        <w:div w:id="55983192">
          <w:marLeft w:val="0"/>
          <w:marRight w:val="0"/>
          <w:marTop w:val="0"/>
          <w:marBottom w:val="0"/>
          <w:divBdr>
            <w:top w:val="none" w:sz="0" w:space="0" w:color="auto"/>
            <w:left w:val="none" w:sz="0" w:space="0" w:color="auto"/>
            <w:bottom w:val="none" w:sz="0" w:space="0" w:color="auto"/>
            <w:right w:val="none" w:sz="0" w:space="0" w:color="auto"/>
          </w:divBdr>
          <w:divsChild>
            <w:div w:id="87701992">
              <w:marLeft w:val="0"/>
              <w:marRight w:val="0"/>
              <w:marTop w:val="0"/>
              <w:marBottom w:val="0"/>
              <w:divBdr>
                <w:top w:val="none" w:sz="0" w:space="0" w:color="auto"/>
                <w:left w:val="none" w:sz="0" w:space="0" w:color="auto"/>
                <w:bottom w:val="none" w:sz="0" w:space="0" w:color="auto"/>
                <w:right w:val="none" w:sz="0" w:space="0" w:color="auto"/>
              </w:divBdr>
              <w:divsChild>
                <w:div w:id="2131896162">
                  <w:marLeft w:val="0"/>
                  <w:marRight w:val="0"/>
                  <w:marTop w:val="0"/>
                  <w:marBottom w:val="0"/>
                  <w:divBdr>
                    <w:top w:val="none" w:sz="0" w:space="0" w:color="auto"/>
                    <w:left w:val="none" w:sz="0" w:space="0" w:color="auto"/>
                    <w:bottom w:val="none" w:sz="0" w:space="0" w:color="auto"/>
                    <w:right w:val="none" w:sz="0" w:space="0" w:color="auto"/>
                  </w:divBdr>
                </w:div>
                <w:div w:id="731848249">
                  <w:marLeft w:val="0"/>
                  <w:marRight w:val="0"/>
                  <w:marTop w:val="0"/>
                  <w:marBottom w:val="0"/>
                  <w:divBdr>
                    <w:top w:val="none" w:sz="0" w:space="0" w:color="auto"/>
                    <w:left w:val="none" w:sz="0" w:space="0" w:color="auto"/>
                    <w:bottom w:val="none" w:sz="0" w:space="0" w:color="auto"/>
                    <w:right w:val="none" w:sz="0" w:space="0" w:color="auto"/>
                  </w:divBdr>
                  <w:divsChild>
                    <w:div w:id="17668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220460">
      <w:bodyDiv w:val="1"/>
      <w:marLeft w:val="0"/>
      <w:marRight w:val="0"/>
      <w:marTop w:val="0"/>
      <w:marBottom w:val="0"/>
      <w:divBdr>
        <w:top w:val="none" w:sz="0" w:space="0" w:color="auto"/>
        <w:left w:val="none" w:sz="0" w:space="0" w:color="auto"/>
        <w:bottom w:val="none" w:sz="0" w:space="0" w:color="auto"/>
        <w:right w:val="none" w:sz="0" w:space="0" w:color="auto"/>
      </w:divBdr>
    </w:div>
    <w:div w:id="341055665">
      <w:bodyDiv w:val="1"/>
      <w:marLeft w:val="0"/>
      <w:marRight w:val="0"/>
      <w:marTop w:val="0"/>
      <w:marBottom w:val="0"/>
      <w:divBdr>
        <w:top w:val="none" w:sz="0" w:space="0" w:color="auto"/>
        <w:left w:val="none" w:sz="0" w:space="0" w:color="auto"/>
        <w:bottom w:val="none" w:sz="0" w:space="0" w:color="auto"/>
        <w:right w:val="none" w:sz="0" w:space="0" w:color="auto"/>
      </w:divBdr>
    </w:div>
    <w:div w:id="484049645">
      <w:bodyDiv w:val="1"/>
      <w:marLeft w:val="0"/>
      <w:marRight w:val="0"/>
      <w:marTop w:val="0"/>
      <w:marBottom w:val="0"/>
      <w:divBdr>
        <w:top w:val="none" w:sz="0" w:space="0" w:color="auto"/>
        <w:left w:val="none" w:sz="0" w:space="0" w:color="auto"/>
        <w:bottom w:val="none" w:sz="0" w:space="0" w:color="auto"/>
        <w:right w:val="none" w:sz="0" w:space="0" w:color="auto"/>
      </w:divBdr>
      <w:divsChild>
        <w:div w:id="1142045380">
          <w:marLeft w:val="0"/>
          <w:marRight w:val="0"/>
          <w:marTop w:val="0"/>
          <w:marBottom w:val="0"/>
          <w:divBdr>
            <w:top w:val="none" w:sz="0" w:space="0" w:color="auto"/>
            <w:left w:val="none" w:sz="0" w:space="0" w:color="auto"/>
            <w:bottom w:val="none" w:sz="0" w:space="0" w:color="auto"/>
            <w:right w:val="none" w:sz="0" w:space="0" w:color="auto"/>
          </w:divBdr>
        </w:div>
        <w:div w:id="176621641">
          <w:marLeft w:val="0"/>
          <w:marRight w:val="0"/>
          <w:marTop w:val="0"/>
          <w:marBottom w:val="0"/>
          <w:divBdr>
            <w:top w:val="none" w:sz="0" w:space="0" w:color="auto"/>
            <w:left w:val="none" w:sz="0" w:space="0" w:color="auto"/>
            <w:bottom w:val="none" w:sz="0" w:space="0" w:color="auto"/>
            <w:right w:val="none" w:sz="0" w:space="0" w:color="auto"/>
          </w:divBdr>
        </w:div>
        <w:div w:id="1954552680">
          <w:marLeft w:val="0"/>
          <w:marRight w:val="0"/>
          <w:marTop w:val="0"/>
          <w:marBottom w:val="0"/>
          <w:divBdr>
            <w:top w:val="none" w:sz="0" w:space="0" w:color="auto"/>
            <w:left w:val="none" w:sz="0" w:space="0" w:color="auto"/>
            <w:bottom w:val="none" w:sz="0" w:space="0" w:color="auto"/>
            <w:right w:val="none" w:sz="0" w:space="0" w:color="auto"/>
          </w:divBdr>
        </w:div>
        <w:div w:id="1014649192">
          <w:marLeft w:val="0"/>
          <w:marRight w:val="0"/>
          <w:marTop w:val="0"/>
          <w:marBottom w:val="0"/>
          <w:divBdr>
            <w:top w:val="none" w:sz="0" w:space="0" w:color="auto"/>
            <w:left w:val="none" w:sz="0" w:space="0" w:color="auto"/>
            <w:bottom w:val="none" w:sz="0" w:space="0" w:color="auto"/>
            <w:right w:val="none" w:sz="0" w:space="0" w:color="auto"/>
          </w:divBdr>
        </w:div>
      </w:divsChild>
    </w:div>
    <w:div w:id="516046046">
      <w:bodyDiv w:val="1"/>
      <w:marLeft w:val="0"/>
      <w:marRight w:val="0"/>
      <w:marTop w:val="0"/>
      <w:marBottom w:val="0"/>
      <w:divBdr>
        <w:top w:val="none" w:sz="0" w:space="0" w:color="auto"/>
        <w:left w:val="none" w:sz="0" w:space="0" w:color="auto"/>
        <w:bottom w:val="none" w:sz="0" w:space="0" w:color="auto"/>
        <w:right w:val="none" w:sz="0" w:space="0" w:color="auto"/>
      </w:divBdr>
    </w:div>
    <w:div w:id="525944269">
      <w:bodyDiv w:val="1"/>
      <w:marLeft w:val="0"/>
      <w:marRight w:val="0"/>
      <w:marTop w:val="0"/>
      <w:marBottom w:val="0"/>
      <w:divBdr>
        <w:top w:val="none" w:sz="0" w:space="0" w:color="auto"/>
        <w:left w:val="none" w:sz="0" w:space="0" w:color="auto"/>
        <w:bottom w:val="none" w:sz="0" w:space="0" w:color="auto"/>
        <w:right w:val="none" w:sz="0" w:space="0" w:color="auto"/>
      </w:divBdr>
    </w:div>
    <w:div w:id="594284788">
      <w:bodyDiv w:val="1"/>
      <w:marLeft w:val="0"/>
      <w:marRight w:val="0"/>
      <w:marTop w:val="0"/>
      <w:marBottom w:val="0"/>
      <w:divBdr>
        <w:top w:val="none" w:sz="0" w:space="0" w:color="auto"/>
        <w:left w:val="none" w:sz="0" w:space="0" w:color="auto"/>
        <w:bottom w:val="none" w:sz="0" w:space="0" w:color="auto"/>
        <w:right w:val="none" w:sz="0" w:space="0" w:color="auto"/>
      </w:divBdr>
    </w:div>
    <w:div w:id="709770323">
      <w:bodyDiv w:val="1"/>
      <w:marLeft w:val="0"/>
      <w:marRight w:val="0"/>
      <w:marTop w:val="0"/>
      <w:marBottom w:val="0"/>
      <w:divBdr>
        <w:top w:val="none" w:sz="0" w:space="0" w:color="auto"/>
        <w:left w:val="none" w:sz="0" w:space="0" w:color="auto"/>
        <w:bottom w:val="none" w:sz="0" w:space="0" w:color="auto"/>
        <w:right w:val="none" w:sz="0" w:space="0" w:color="auto"/>
      </w:divBdr>
      <w:divsChild>
        <w:div w:id="1858807280">
          <w:marLeft w:val="0"/>
          <w:marRight w:val="0"/>
          <w:marTop w:val="0"/>
          <w:marBottom w:val="0"/>
          <w:divBdr>
            <w:top w:val="none" w:sz="0" w:space="0" w:color="auto"/>
            <w:left w:val="none" w:sz="0" w:space="0" w:color="auto"/>
            <w:bottom w:val="none" w:sz="0" w:space="0" w:color="auto"/>
            <w:right w:val="none" w:sz="0" w:space="0" w:color="auto"/>
          </w:divBdr>
          <w:divsChild>
            <w:div w:id="1856335722">
              <w:marLeft w:val="0"/>
              <w:marRight w:val="0"/>
              <w:marTop w:val="0"/>
              <w:marBottom w:val="0"/>
              <w:divBdr>
                <w:top w:val="none" w:sz="0" w:space="0" w:color="auto"/>
                <w:left w:val="none" w:sz="0" w:space="0" w:color="auto"/>
                <w:bottom w:val="none" w:sz="0" w:space="0" w:color="auto"/>
                <w:right w:val="none" w:sz="0" w:space="0" w:color="auto"/>
              </w:divBdr>
              <w:divsChild>
                <w:div w:id="3819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9572">
          <w:marLeft w:val="0"/>
          <w:marRight w:val="0"/>
          <w:marTop w:val="0"/>
          <w:marBottom w:val="0"/>
          <w:divBdr>
            <w:top w:val="none" w:sz="0" w:space="0" w:color="auto"/>
            <w:left w:val="none" w:sz="0" w:space="0" w:color="auto"/>
            <w:bottom w:val="none" w:sz="0" w:space="0" w:color="auto"/>
            <w:right w:val="none" w:sz="0" w:space="0" w:color="auto"/>
          </w:divBdr>
          <w:divsChild>
            <w:div w:id="142360153">
              <w:marLeft w:val="0"/>
              <w:marRight w:val="0"/>
              <w:marTop w:val="0"/>
              <w:marBottom w:val="0"/>
              <w:divBdr>
                <w:top w:val="none" w:sz="0" w:space="0" w:color="auto"/>
                <w:left w:val="none" w:sz="0" w:space="0" w:color="auto"/>
                <w:bottom w:val="none" w:sz="0" w:space="0" w:color="auto"/>
                <w:right w:val="none" w:sz="0" w:space="0" w:color="auto"/>
              </w:divBdr>
              <w:divsChild>
                <w:div w:id="9197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701174">
      <w:bodyDiv w:val="1"/>
      <w:marLeft w:val="0"/>
      <w:marRight w:val="0"/>
      <w:marTop w:val="0"/>
      <w:marBottom w:val="0"/>
      <w:divBdr>
        <w:top w:val="none" w:sz="0" w:space="0" w:color="auto"/>
        <w:left w:val="none" w:sz="0" w:space="0" w:color="auto"/>
        <w:bottom w:val="none" w:sz="0" w:space="0" w:color="auto"/>
        <w:right w:val="none" w:sz="0" w:space="0" w:color="auto"/>
      </w:divBdr>
      <w:divsChild>
        <w:div w:id="1718580100">
          <w:marLeft w:val="0"/>
          <w:marRight w:val="0"/>
          <w:marTop w:val="0"/>
          <w:marBottom w:val="0"/>
          <w:divBdr>
            <w:top w:val="none" w:sz="0" w:space="0" w:color="auto"/>
            <w:left w:val="none" w:sz="0" w:space="0" w:color="auto"/>
            <w:bottom w:val="none" w:sz="0" w:space="0" w:color="auto"/>
            <w:right w:val="none" w:sz="0" w:space="0" w:color="auto"/>
          </w:divBdr>
        </w:div>
      </w:divsChild>
    </w:div>
    <w:div w:id="729620976">
      <w:bodyDiv w:val="1"/>
      <w:marLeft w:val="0"/>
      <w:marRight w:val="0"/>
      <w:marTop w:val="0"/>
      <w:marBottom w:val="0"/>
      <w:divBdr>
        <w:top w:val="none" w:sz="0" w:space="0" w:color="auto"/>
        <w:left w:val="none" w:sz="0" w:space="0" w:color="auto"/>
        <w:bottom w:val="none" w:sz="0" w:space="0" w:color="auto"/>
        <w:right w:val="none" w:sz="0" w:space="0" w:color="auto"/>
      </w:divBdr>
    </w:div>
    <w:div w:id="842092143">
      <w:bodyDiv w:val="1"/>
      <w:marLeft w:val="0"/>
      <w:marRight w:val="0"/>
      <w:marTop w:val="0"/>
      <w:marBottom w:val="0"/>
      <w:divBdr>
        <w:top w:val="none" w:sz="0" w:space="0" w:color="auto"/>
        <w:left w:val="none" w:sz="0" w:space="0" w:color="auto"/>
        <w:bottom w:val="none" w:sz="0" w:space="0" w:color="auto"/>
        <w:right w:val="none" w:sz="0" w:space="0" w:color="auto"/>
      </w:divBdr>
    </w:div>
    <w:div w:id="914314000">
      <w:bodyDiv w:val="1"/>
      <w:marLeft w:val="0"/>
      <w:marRight w:val="0"/>
      <w:marTop w:val="0"/>
      <w:marBottom w:val="0"/>
      <w:divBdr>
        <w:top w:val="none" w:sz="0" w:space="0" w:color="auto"/>
        <w:left w:val="none" w:sz="0" w:space="0" w:color="auto"/>
        <w:bottom w:val="none" w:sz="0" w:space="0" w:color="auto"/>
        <w:right w:val="none" w:sz="0" w:space="0" w:color="auto"/>
      </w:divBdr>
      <w:divsChild>
        <w:div w:id="919798912">
          <w:marLeft w:val="0"/>
          <w:marRight w:val="0"/>
          <w:marTop w:val="0"/>
          <w:marBottom w:val="0"/>
          <w:divBdr>
            <w:top w:val="none" w:sz="0" w:space="0" w:color="auto"/>
            <w:left w:val="none" w:sz="0" w:space="0" w:color="auto"/>
            <w:bottom w:val="none" w:sz="0" w:space="0" w:color="auto"/>
            <w:right w:val="none" w:sz="0" w:space="0" w:color="auto"/>
          </w:divBdr>
          <w:divsChild>
            <w:div w:id="9637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5830">
      <w:bodyDiv w:val="1"/>
      <w:marLeft w:val="0"/>
      <w:marRight w:val="0"/>
      <w:marTop w:val="0"/>
      <w:marBottom w:val="0"/>
      <w:divBdr>
        <w:top w:val="none" w:sz="0" w:space="0" w:color="auto"/>
        <w:left w:val="none" w:sz="0" w:space="0" w:color="auto"/>
        <w:bottom w:val="none" w:sz="0" w:space="0" w:color="auto"/>
        <w:right w:val="none" w:sz="0" w:space="0" w:color="auto"/>
      </w:divBdr>
    </w:div>
    <w:div w:id="1147823588">
      <w:bodyDiv w:val="1"/>
      <w:marLeft w:val="0"/>
      <w:marRight w:val="0"/>
      <w:marTop w:val="0"/>
      <w:marBottom w:val="0"/>
      <w:divBdr>
        <w:top w:val="none" w:sz="0" w:space="0" w:color="auto"/>
        <w:left w:val="none" w:sz="0" w:space="0" w:color="auto"/>
        <w:bottom w:val="none" w:sz="0" w:space="0" w:color="auto"/>
        <w:right w:val="none" w:sz="0" w:space="0" w:color="auto"/>
      </w:divBdr>
      <w:divsChild>
        <w:div w:id="187448950">
          <w:marLeft w:val="0"/>
          <w:marRight w:val="0"/>
          <w:marTop w:val="0"/>
          <w:marBottom w:val="0"/>
          <w:divBdr>
            <w:top w:val="none" w:sz="0" w:space="0" w:color="auto"/>
            <w:left w:val="none" w:sz="0" w:space="0" w:color="auto"/>
            <w:bottom w:val="none" w:sz="0" w:space="0" w:color="auto"/>
            <w:right w:val="none" w:sz="0" w:space="0" w:color="auto"/>
          </w:divBdr>
          <w:divsChild>
            <w:div w:id="12109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01946">
      <w:bodyDiv w:val="1"/>
      <w:marLeft w:val="0"/>
      <w:marRight w:val="0"/>
      <w:marTop w:val="0"/>
      <w:marBottom w:val="0"/>
      <w:divBdr>
        <w:top w:val="none" w:sz="0" w:space="0" w:color="auto"/>
        <w:left w:val="none" w:sz="0" w:space="0" w:color="auto"/>
        <w:bottom w:val="none" w:sz="0" w:space="0" w:color="auto"/>
        <w:right w:val="none" w:sz="0" w:space="0" w:color="auto"/>
      </w:divBdr>
      <w:divsChild>
        <w:div w:id="1139882232">
          <w:marLeft w:val="0"/>
          <w:marRight w:val="0"/>
          <w:marTop w:val="0"/>
          <w:marBottom w:val="0"/>
          <w:divBdr>
            <w:top w:val="none" w:sz="0" w:space="0" w:color="auto"/>
            <w:left w:val="none" w:sz="0" w:space="0" w:color="auto"/>
            <w:bottom w:val="none" w:sz="0" w:space="0" w:color="auto"/>
            <w:right w:val="none" w:sz="0" w:space="0" w:color="auto"/>
          </w:divBdr>
        </w:div>
        <w:div w:id="149835362">
          <w:marLeft w:val="0"/>
          <w:marRight w:val="0"/>
          <w:marTop w:val="0"/>
          <w:marBottom w:val="0"/>
          <w:divBdr>
            <w:top w:val="none" w:sz="0" w:space="0" w:color="auto"/>
            <w:left w:val="none" w:sz="0" w:space="0" w:color="auto"/>
            <w:bottom w:val="none" w:sz="0" w:space="0" w:color="auto"/>
            <w:right w:val="none" w:sz="0" w:space="0" w:color="auto"/>
          </w:divBdr>
        </w:div>
        <w:div w:id="786433823">
          <w:marLeft w:val="0"/>
          <w:marRight w:val="0"/>
          <w:marTop w:val="0"/>
          <w:marBottom w:val="0"/>
          <w:divBdr>
            <w:top w:val="none" w:sz="0" w:space="0" w:color="auto"/>
            <w:left w:val="none" w:sz="0" w:space="0" w:color="auto"/>
            <w:bottom w:val="none" w:sz="0" w:space="0" w:color="auto"/>
            <w:right w:val="none" w:sz="0" w:space="0" w:color="auto"/>
          </w:divBdr>
        </w:div>
      </w:divsChild>
    </w:div>
    <w:div w:id="1322195113">
      <w:bodyDiv w:val="1"/>
      <w:marLeft w:val="0"/>
      <w:marRight w:val="0"/>
      <w:marTop w:val="0"/>
      <w:marBottom w:val="0"/>
      <w:divBdr>
        <w:top w:val="none" w:sz="0" w:space="0" w:color="auto"/>
        <w:left w:val="none" w:sz="0" w:space="0" w:color="auto"/>
        <w:bottom w:val="none" w:sz="0" w:space="0" w:color="auto"/>
        <w:right w:val="none" w:sz="0" w:space="0" w:color="auto"/>
      </w:divBdr>
    </w:div>
    <w:div w:id="1381512839">
      <w:bodyDiv w:val="1"/>
      <w:marLeft w:val="0"/>
      <w:marRight w:val="0"/>
      <w:marTop w:val="0"/>
      <w:marBottom w:val="0"/>
      <w:divBdr>
        <w:top w:val="none" w:sz="0" w:space="0" w:color="auto"/>
        <w:left w:val="none" w:sz="0" w:space="0" w:color="auto"/>
        <w:bottom w:val="none" w:sz="0" w:space="0" w:color="auto"/>
        <w:right w:val="none" w:sz="0" w:space="0" w:color="auto"/>
      </w:divBdr>
    </w:div>
    <w:div w:id="1551841382">
      <w:bodyDiv w:val="1"/>
      <w:marLeft w:val="0"/>
      <w:marRight w:val="0"/>
      <w:marTop w:val="0"/>
      <w:marBottom w:val="0"/>
      <w:divBdr>
        <w:top w:val="none" w:sz="0" w:space="0" w:color="auto"/>
        <w:left w:val="none" w:sz="0" w:space="0" w:color="auto"/>
        <w:bottom w:val="none" w:sz="0" w:space="0" w:color="auto"/>
        <w:right w:val="none" w:sz="0" w:space="0" w:color="auto"/>
      </w:divBdr>
    </w:div>
    <w:div w:id="1576621149">
      <w:bodyDiv w:val="1"/>
      <w:marLeft w:val="0"/>
      <w:marRight w:val="0"/>
      <w:marTop w:val="0"/>
      <w:marBottom w:val="0"/>
      <w:divBdr>
        <w:top w:val="none" w:sz="0" w:space="0" w:color="auto"/>
        <w:left w:val="none" w:sz="0" w:space="0" w:color="auto"/>
        <w:bottom w:val="none" w:sz="0" w:space="0" w:color="auto"/>
        <w:right w:val="none" w:sz="0" w:space="0" w:color="auto"/>
      </w:divBdr>
    </w:div>
    <w:div w:id="1600286765">
      <w:bodyDiv w:val="1"/>
      <w:marLeft w:val="0"/>
      <w:marRight w:val="0"/>
      <w:marTop w:val="0"/>
      <w:marBottom w:val="0"/>
      <w:divBdr>
        <w:top w:val="none" w:sz="0" w:space="0" w:color="auto"/>
        <w:left w:val="none" w:sz="0" w:space="0" w:color="auto"/>
        <w:bottom w:val="none" w:sz="0" w:space="0" w:color="auto"/>
        <w:right w:val="none" w:sz="0" w:space="0" w:color="auto"/>
      </w:divBdr>
      <w:divsChild>
        <w:div w:id="545722391">
          <w:marLeft w:val="0"/>
          <w:marRight w:val="0"/>
          <w:marTop w:val="0"/>
          <w:marBottom w:val="0"/>
          <w:divBdr>
            <w:top w:val="none" w:sz="0" w:space="0" w:color="auto"/>
            <w:left w:val="none" w:sz="0" w:space="0" w:color="auto"/>
            <w:bottom w:val="none" w:sz="0" w:space="0" w:color="auto"/>
            <w:right w:val="none" w:sz="0" w:space="0" w:color="auto"/>
          </w:divBdr>
          <w:divsChild>
            <w:div w:id="8112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50344">
      <w:bodyDiv w:val="1"/>
      <w:marLeft w:val="0"/>
      <w:marRight w:val="0"/>
      <w:marTop w:val="0"/>
      <w:marBottom w:val="0"/>
      <w:divBdr>
        <w:top w:val="none" w:sz="0" w:space="0" w:color="auto"/>
        <w:left w:val="none" w:sz="0" w:space="0" w:color="auto"/>
        <w:bottom w:val="none" w:sz="0" w:space="0" w:color="auto"/>
        <w:right w:val="none" w:sz="0" w:space="0" w:color="auto"/>
      </w:divBdr>
    </w:div>
    <w:div w:id="2000646503">
      <w:bodyDiv w:val="1"/>
      <w:marLeft w:val="0"/>
      <w:marRight w:val="0"/>
      <w:marTop w:val="0"/>
      <w:marBottom w:val="0"/>
      <w:divBdr>
        <w:top w:val="none" w:sz="0" w:space="0" w:color="auto"/>
        <w:left w:val="none" w:sz="0" w:space="0" w:color="auto"/>
        <w:bottom w:val="none" w:sz="0" w:space="0" w:color="auto"/>
        <w:right w:val="none" w:sz="0" w:space="0" w:color="auto"/>
      </w:divBdr>
      <w:divsChild>
        <w:div w:id="1672835601">
          <w:marLeft w:val="0"/>
          <w:marRight w:val="0"/>
          <w:marTop w:val="0"/>
          <w:marBottom w:val="0"/>
          <w:divBdr>
            <w:top w:val="none" w:sz="0" w:space="0" w:color="auto"/>
            <w:left w:val="none" w:sz="0" w:space="0" w:color="auto"/>
            <w:bottom w:val="none" w:sz="0" w:space="0" w:color="auto"/>
            <w:right w:val="none" w:sz="0" w:space="0" w:color="auto"/>
          </w:divBdr>
        </w:div>
        <w:div w:id="1718820269">
          <w:marLeft w:val="0"/>
          <w:marRight w:val="0"/>
          <w:marTop w:val="0"/>
          <w:marBottom w:val="0"/>
          <w:divBdr>
            <w:top w:val="none" w:sz="0" w:space="0" w:color="auto"/>
            <w:left w:val="none" w:sz="0" w:space="0" w:color="auto"/>
            <w:bottom w:val="none" w:sz="0" w:space="0" w:color="auto"/>
            <w:right w:val="none" w:sz="0" w:space="0" w:color="auto"/>
          </w:divBdr>
          <w:divsChild>
            <w:div w:id="1623031583">
              <w:marLeft w:val="0"/>
              <w:marRight w:val="0"/>
              <w:marTop w:val="0"/>
              <w:marBottom w:val="0"/>
              <w:divBdr>
                <w:top w:val="none" w:sz="0" w:space="0" w:color="auto"/>
                <w:left w:val="none" w:sz="0" w:space="0" w:color="auto"/>
                <w:bottom w:val="none" w:sz="0" w:space="0" w:color="auto"/>
                <w:right w:val="none" w:sz="0" w:space="0" w:color="auto"/>
              </w:divBdr>
              <w:divsChild>
                <w:div w:id="15424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04548">
      <w:bodyDiv w:val="1"/>
      <w:marLeft w:val="0"/>
      <w:marRight w:val="0"/>
      <w:marTop w:val="0"/>
      <w:marBottom w:val="0"/>
      <w:divBdr>
        <w:top w:val="none" w:sz="0" w:space="0" w:color="auto"/>
        <w:left w:val="none" w:sz="0" w:space="0" w:color="auto"/>
        <w:bottom w:val="none" w:sz="0" w:space="0" w:color="auto"/>
        <w:right w:val="none" w:sz="0" w:space="0" w:color="auto"/>
      </w:divBdr>
      <w:divsChild>
        <w:div w:id="1748185288">
          <w:marLeft w:val="0"/>
          <w:marRight w:val="0"/>
          <w:marTop w:val="0"/>
          <w:marBottom w:val="0"/>
          <w:divBdr>
            <w:top w:val="none" w:sz="0" w:space="0" w:color="auto"/>
            <w:left w:val="none" w:sz="0" w:space="0" w:color="auto"/>
            <w:bottom w:val="none" w:sz="0" w:space="0" w:color="auto"/>
            <w:right w:val="none" w:sz="0" w:space="0" w:color="auto"/>
          </w:divBdr>
        </w:div>
      </w:divsChild>
    </w:div>
    <w:div w:id="2086798726">
      <w:bodyDiv w:val="1"/>
      <w:marLeft w:val="0"/>
      <w:marRight w:val="0"/>
      <w:marTop w:val="0"/>
      <w:marBottom w:val="0"/>
      <w:divBdr>
        <w:top w:val="none" w:sz="0" w:space="0" w:color="auto"/>
        <w:left w:val="none" w:sz="0" w:space="0" w:color="auto"/>
        <w:bottom w:val="none" w:sz="0" w:space="0" w:color="auto"/>
        <w:right w:val="none" w:sz="0" w:space="0" w:color="auto"/>
      </w:divBdr>
      <w:divsChild>
        <w:div w:id="1916669459">
          <w:marLeft w:val="0"/>
          <w:marRight w:val="0"/>
          <w:marTop w:val="0"/>
          <w:marBottom w:val="0"/>
          <w:divBdr>
            <w:top w:val="none" w:sz="0" w:space="0" w:color="auto"/>
            <w:left w:val="none" w:sz="0" w:space="0" w:color="auto"/>
            <w:bottom w:val="none" w:sz="0" w:space="0" w:color="auto"/>
            <w:right w:val="none" w:sz="0" w:space="0" w:color="auto"/>
          </w:divBdr>
        </w:div>
        <w:div w:id="2008317885">
          <w:marLeft w:val="0"/>
          <w:marRight w:val="0"/>
          <w:marTop w:val="0"/>
          <w:marBottom w:val="0"/>
          <w:divBdr>
            <w:top w:val="none" w:sz="0" w:space="0" w:color="auto"/>
            <w:left w:val="none" w:sz="0" w:space="0" w:color="auto"/>
            <w:bottom w:val="none" w:sz="0" w:space="0" w:color="auto"/>
            <w:right w:val="none" w:sz="0" w:space="0" w:color="auto"/>
          </w:divBdr>
        </w:div>
      </w:divsChild>
    </w:div>
    <w:div w:id="2113356736">
      <w:bodyDiv w:val="1"/>
      <w:marLeft w:val="0"/>
      <w:marRight w:val="0"/>
      <w:marTop w:val="0"/>
      <w:marBottom w:val="0"/>
      <w:divBdr>
        <w:top w:val="none" w:sz="0" w:space="0" w:color="auto"/>
        <w:left w:val="none" w:sz="0" w:space="0" w:color="auto"/>
        <w:bottom w:val="none" w:sz="0" w:space="0" w:color="auto"/>
        <w:right w:val="none" w:sz="0" w:space="0" w:color="auto"/>
      </w:divBdr>
      <w:divsChild>
        <w:div w:id="316349905">
          <w:marLeft w:val="0"/>
          <w:marRight w:val="0"/>
          <w:marTop w:val="0"/>
          <w:marBottom w:val="0"/>
          <w:divBdr>
            <w:top w:val="none" w:sz="0" w:space="0" w:color="auto"/>
            <w:left w:val="none" w:sz="0" w:space="0" w:color="auto"/>
            <w:bottom w:val="none" w:sz="0" w:space="0" w:color="auto"/>
            <w:right w:val="none" w:sz="0" w:space="0" w:color="auto"/>
          </w:divBdr>
        </w:div>
      </w:divsChild>
    </w:div>
    <w:div w:id="211670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ufficio.stampa@aovr.veneto.it" TargetMode="External"/><Relationship Id="rId1" Type="http://schemas.openxmlformats.org/officeDocument/2006/relationships/hyperlink" Target="http://www.aovr.veneto.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06C90-1B48-4DEC-9C7F-227FF930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Pages>
  <Words>610</Words>
  <Characters>3479</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4081</CharactersWithSpaces>
  <SharedDoc>false</SharedDoc>
  <HLinks>
    <vt:vector size="12" baseType="variant">
      <vt:variant>
        <vt:i4>7602245</vt:i4>
      </vt:variant>
      <vt:variant>
        <vt:i4>3</vt:i4>
      </vt:variant>
      <vt:variant>
        <vt:i4>0</vt:i4>
      </vt:variant>
      <vt:variant>
        <vt:i4>5</vt:i4>
      </vt:variant>
      <vt:variant>
        <vt:lpwstr>mailto:ufficio.stampa@aovr.veneto.it</vt:lpwstr>
      </vt:variant>
      <vt:variant>
        <vt:lpwstr/>
      </vt:variant>
      <vt:variant>
        <vt:i4>3866747</vt:i4>
      </vt:variant>
      <vt:variant>
        <vt:i4>0</vt:i4>
      </vt:variant>
      <vt:variant>
        <vt:i4>0</vt:i4>
      </vt:variant>
      <vt:variant>
        <vt:i4>5</vt:i4>
      </vt:variant>
      <vt:variant>
        <vt:lpwstr>http://www.aovr.veneto.it/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Azienda Ospedaliera Universitaria Integrata - Verona</dc:creator>
  <cp:keywords/>
  <cp:lastModifiedBy>MIRELLA GOBBI SPROCAGNOCCHI</cp:lastModifiedBy>
  <cp:revision>8</cp:revision>
  <cp:lastPrinted>2026-05-15T14:02:00Z</cp:lastPrinted>
  <dcterms:created xsi:type="dcterms:W3CDTF">2026-09-14T10:53:00Z</dcterms:created>
  <dcterms:modified xsi:type="dcterms:W3CDTF">2026-09-16T07:58:00Z</dcterms:modified>
</cp:coreProperties>
</file>