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77F37" w:rsidRDefault="00B44DB1">
      <w:pPr>
        <w:pStyle w:val="Titolo1"/>
        <w:spacing w:before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Tumore al fegato, ambulatori integrati allungano la sopravvivenza</w:t>
      </w:r>
      <w:r w:rsidR="009D6F0F">
        <w:rPr>
          <w:rFonts w:ascii="Century Gothic" w:hAnsi="Century Gothic"/>
          <w:sz w:val="28"/>
          <w:szCs w:val="28"/>
        </w:rPr>
        <w:t xml:space="preserve"> e migliorano i risultati delle cure</w:t>
      </w:r>
    </w:p>
    <w:p w:rsidR="00777F37" w:rsidRDefault="00777F37"/>
    <w:p w:rsidR="00777F37" w:rsidRDefault="00B44DB1">
      <w:pPr>
        <w:jc w:val="center"/>
        <w:rPr>
          <w:rFonts w:ascii="Century Gothic" w:hAnsi="Century Gothic"/>
          <w:b/>
          <w:sz w:val="28"/>
          <w:szCs w:val="28"/>
        </w:rPr>
      </w:pPr>
      <w:proofErr w:type="spellStart"/>
      <w:r>
        <w:rPr>
          <w:rFonts w:ascii="Century Gothic" w:hAnsi="Century Gothic"/>
          <w:b/>
          <w:sz w:val="28"/>
          <w:szCs w:val="28"/>
        </w:rPr>
        <w:t>Aoui</w:t>
      </w:r>
      <w:proofErr w:type="spellEnd"/>
      <w:r>
        <w:rPr>
          <w:rFonts w:ascii="Century Gothic" w:hAnsi="Century Gothic"/>
          <w:b/>
          <w:sz w:val="28"/>
          <w:szCs w:val="28"/>
        </w:rPr>
        <w:t xml:space="preserve"> coordina altri 4 ospedali italiani.  Lo studio pubblicato sulla rivista internazionale </w:t>
      </w:r>
      <w:proofErr w:type="spellStart"/>
      <w:r>
        <w:rPr>
          <w:rFonts w:ascii="Century Gothic" w:hAnsi="Century Gothic"/>
          <w:b/>
          <w:sz w:val="28"/>
          <w:szCs w:val="28"/>
        </w:rPr>
        <w:t>Liver</w:t>
      </w:r>
      <w:proofErr w:type="spellEnd"/>
      <w:r>
        <w:rPr>
          <w:rFonts w:ascii="Century Gothic" w:hAnsi="Century Gothic"/>
          <w:b/>
          <w:sz w:val="28"/>
          <w:szCs w:val="28"/>
        </w:rPr>
        <w:t xml:space="preserve"> Cancer</w:t>
      </w:r>
    </w:p>
    <w:p w:rsidR="00777F37" w:rsidRDefault="00777F37"/>
    <w:p w:rsidR="00777F37" w:rsidRDefault="00777F37"/>
    <w:p w:rsidR="00777F37" w:rsidRDefault="00B44DB1">
      <w:pPr>
        <w:ind w:right="-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5D71CA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680357">
        <w:rPr>
          <w:rFonts w:ascii="Century Gothic" w:hAnsi="Century Gothic" w:cs="Century Gothic"/>
          <w:kern w:val="2"/>
          <w:sz w:val="24"/>
          <w:szCs w:val="24"/>
        </w:rPr>
        <w:t xml:space="preserve">7 </w:t>
      </w:r>
      <w:bookmarkStart w:id="0" w:name="_GoBack"/>
      <w:bookmarkEnd w:id="0"/>
      <w:r>
        <w:rPr>
          <w:rFonts w:ascii="Century Gothic" w:hAnsi="Century Gothic" w:cs="Century Gothic"/>
          <w:kern w:val="2"/>
          <w:sz w:val="24"/>
          <w:szCs w:val="24"/>
        </w:rPr>
        <w:t>maggio 2026</w:t>
      </w:r>
    </w:p>
    <w:p w:rsidR="00777F37" w:rsidRDefault="00777F37">
      <w:pPr>
        <w:ind w:right="-35"/>
        <w:jc w:val="both"/>
        <w:rPr>
          <w:rFonts w:ascii="Century Gothic" w:hAnsi="Century Gothic"/>
          <w:sz w:val="24"/>
          <w:szCs w:val="24"/>
        </w:rPr>
      </w:pPr>
    </w:p>
    <w:p w:rsidR="00777F37" w:rsidRDefault="00B44DB1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Aumenta la sopravvivenza libera dalla malattia e calano drasticamente gli eventi epatici avversi. Sono i significativi vantaggi riscontrati nella pratica clinica su 146 pazienti affetti da carcinoma epatocellulare e ricoverati in centri di eccellenza italiani: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Verona, IOV di Padova, CRO di Aviano (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Pn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), ospedali Niguarda e Humanitas di Milano. </w:t>
      </w:r>
    </w:p>
    <w:p w:rsidR="00777F37" w:rsidRDefault="00777F37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:rsidR="00777F37" w:rsidRDefault="00B44DB1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Come è successo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Per sei mesi questi pazienti sono stati curati con un nuovo modello di gestione ambulatoriale, una organizzazione integrata fra epatologi e oncologi che hanno valutato congiuntamente e globalmente i pazienti. I risultati si sono rivelati così evidenti, che sono appena stati pubblicati su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Liver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Cancer, la più prestigiosa rivista internazionale dedicata alle patologie oncologiche del fegato. </w:t>
      </w:r>
    </w:p>
    <w:p w:rsidR="00777F37" w:rsidRDefault="00B44DB1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Lo studio sull’innovazione di cura </w:t>
      </w:r>
      <w:r w:rsid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in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Aoui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Verona </w:t>
      </w:r>
      <w:r w:rsid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è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realizzato dal dott. Andrea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Dalbeni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Medicina generale C e presidente della sezione Triveneto SIMI (Società italiana di Medicina interna)</w:t>
      </w:r>
      <w:r w:rsid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e dalla dott.ssa Alessandra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Auriemma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Oncologia responsabile dell'ambulatorio multidisciplinare.</w:t>
      </w:r>
    </w:p>
    <w:p w:rsidR="00777F37" w:rsidRDefault="00777F37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:rsidR="00777F37" w:rsidRDefault="00B44DB1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La patologia.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Il carcinoma epatocellulare (HCC) è il tipo più comune di tumore primario del fegato e una delle principali cause di morbilità e mortalità in tutto il mondo. Insorge tipicamente nel contesto di una malattia epatica cronica sottostante, il più delle volte la cirrosi. Una patologia complessa che richiede una gestione multidisciplinare e completa che affronti la fisiopatologia sia del tumore stesso che della sottostante disfunzione epatica. L’introduzione di nuove terapie mirate e dell'immunoterapia, in particolare degli inibitori dei checkpoint immunitari (ICI), ha ampliato significativamente il panorama terapeutico. </w:t>
      </w:r>
    </w:p>
    <w:p w:rsidR="00777F37" w:rsidRDefault="00777F37">
      <w:pPr>
        <w:suppressAutoHyphens w:val="0"/>
        <w:spacing w:line="254" w:lineRule="auto"/>
        <w:jc w:val="both"/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</w:pPr>
    </w:p>
    <w:p w:rsidR="00777F37" w:rsidRDefault="00B44DB1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Ambulatori multidisciplinari integrati.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Il progetto dell’ambulatorio multidisciplinare creato a Verona </w:t>
      </w:r>
      <w:r w:rsidRPr="009D6F0F">
        <w:rPr>
          <w:rFonts w:ascii="Century Gothic" w:eastAsia="Calibri" w:hAnsi="Century Gothic"/>
          <w:kern w:val="2"/>
          <w:sz w:val="24"/>
          <w:szCs w:val="24"/>
          <w:shd w:val="clear" w:color="auto" w:fill="FFFFFF" w:themeFill="background1"/>
          <w:lang w:eastAsia="en-US"/>
        </w:rPr>
        <w:t>nel 2022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ha documentato</w:t>
      </w:r>
      <w:r w:rsidRPr="00127CFB">
        <w:rPr>
          <w:rFonts w:ascii="Century Gothic" w:eastAsia="Calibri" w:hAnsi="Century Gothic"/>
          <w:kern w:val="2"/>
          <w:sz w:val="24"/>
          <w:szCs w:val="24"/>
          <w:shd w:val="clear" w:color="auto" w:fill="FFFFFF" w:themeFill="background1"/>
          <w:lang w:eastAsia="en-US"/>
        </w:rPr>
        <w:t xml:space="preserve"> </w:t>
      </w:r>
      <w:r w:rsidRPr="00127CFB">
        <w:rPr>
          <w:rFonts w:ascii="Century Gothic" w:eastAsia="Calibri" w:hAnsi="Century Gothic"/>
          <w:iCs/>
          <w:kern w:val="2"/>
          <w:sz w:val="24"/>
          <w:szCs w:val="24"/>
          <w:shd w:val="clear" w:color="auto" w:fill="FFFFFF" w:themeFill="background1"/>
          <w:lang w:eastAsia="en-US"/>
        </w:rPr>
        <w:t>una durata del controllo di malattia</w:t>
      </w:r>
      <w:r w:rsidR="00127CFB" w:rsidRPr="00127CFB">
        <w:rPr>
          <w:rFonts w:ascii="Century Gothic" w:eastAsia="Calibri" w:hAnsi="Century Gothic"/>
          <w:iCs/>
          <w:kern w:val="2"/>
          <w:sz w:val="24"/>
          <w:szCs w:val="24"/>
          <w:shd w:val="clear" w:color="auto" w:fill="FFFFFF" w:themeFill="background1"/>
          <w:lang w:eastAsia="en-US"/>
        </w:rPr>
        <w:t>,</w:t>
      </w:r>
      <w:r w:rsidRPr="00127CFB">
        <w:rPr>
          <w:rFonts w:ascii="Century Gothic" w:eastAsia="Calibri" w:hAnsi="Century Gothic"/>
          <w:iCs/>
          <w:kern w:val="2"/>
          <w:sz w:val="24"/>
          <w:szCs w:val="24"/>
          <w:shd w:val="clear" w:color="auto" w:fill="FFFFFF" w:themeFill="background1"/>
          <w:lang w:eastAsia="en-US"/>
        </w:rPr>
        <w:t xml:space="preserve"> ottenuto con il trattament</w:t>
      </w:r>
      <w:r w:rsidR="00127CFB" w:rsidRPr="00127CFB">
        <w:rPr>
          <w:rFonts w:ascii="Century Gothic" w:eastAsia="Calibri" w:hAnsi="Century Gothic"/>
          <w:iCs/>
          <w:kern w:val="2"/>
          <w:sz w:val="24"/>
          <w:szCs w:val="24"/>
          <w:shd w:val="clear" w:color="auto" w:fill="FFFFFF" w:themeFill="background1"/>
          <w:lang w:eastAsia="en-US"/>
        </w:rPr>
        <w:t>o</w:t>
      </w:r>
      <w:r w:rsidR="00127CFB">
        <w:rPr>
          <w:rFonts w:ascii="Century Gothic" w:eastAsia="Calibri" w:hAnsi="Century Gothic"/>
          <w:i/>
          <w:iCs/>
          <w:kern w:val="2"/>
          <w:sz w:val="24"/>
          <w:szCs w:val="24"/>
          <w:shd w:val="clear" w:color="auto" w:fill="FFFFFF" w:themeFill="background1"/>
          <w:lang w:eastAsia="en-US"/>
        </w:rPr>
        <w:t>,</w:t>
      </w:r>
      <w:r w:rsidRPr="00127CFB">
        <w:rPr>
          <w:rFonts w:ascii="Century Gothic" w:eastAsia="Calibri" w:hAnsi="Century Gothic"/>
          <w:kern w:val="2"/>
          <w:sz w:val="24"/>
          <w:szCs w:val="24"/>
          <w:shd w:val="clear" w:color="auto" w:fill="FFFFFF" w:themeFill="background1"/>
          <w:lang w:eastAsia="en-US"/>
        </w:rPr>
        <w:t xml:space="preserve">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più lungo rispetto al consueto approccio oncologico. Oltre alla maggior sopravvivenza, questo metodo apre scenari importanti per i pa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lastRenderedPageBreak/>
        <w:t xml:space="preserve">zienti e sarà a breve esteso alle neoplasie primitive delle vie biliari e potrà in futuro servire da modello per altri ambiti specialistici in Oncologia. </w:t>
      </w:r>
    </w:p>
    <w:p w:rsidR="00777F37" w:rsidRDefault="00B44DB1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Nato a Verona, l’ambulatorio è ora applicato anche in altri centri italiani, aprendo nuove opportunità di trattamento per i pazienti, nuove sfide nella selezione del trattamento e nella gestione degli eventi avversi. </w:t>
      </w:r>
      <w:proofErr w:type="gram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E’</w:t>
      </w:r>
      <w:proofErr w:type="gram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richiesta una comprensione completa della storia clinica di ogni paziente, dello stato di salute generale e delle caratteristiche della malattia, inclusi la biologia del tumore e la funzione epatica. Da qui l'importanza di una gestione personalizzata, che aiuta a massimizzare i risultati attraverso una pianificazione e gestione terapeutica guidata da un team multidisciplinare. </w:t>
      </w:r>
    </w:p>
    <w:p w:rsidR="00777F37" w:rsidRDefault="00777F37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:rsidR="00777F37" w:rsidRDefault="00777F37">
      <w:pPr>
        <w:suppressAutoHyphens w:val="0"/>
        <w:spacing w:line="254" w:lineRule="auto"/>
        <w:jc w:val="both"/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</w:pPr>
    </w:p>
    <w:p w:rsidR="00777F37" w:rsidRDefault="00B44DB1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I risultati pubblicati su </w:t>
      </w:r>
      <w:proofErr w:type="spellStart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Liver</w:t>
      </w:r>
      <w:proofErr w:type="spellEnd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Cancer.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I dati dei sei mesi di presa in carico sono raccolti nel progetto di ricerca “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Multidisciplinary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clinic approach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improves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immunotherapy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treatment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outcomes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unresectable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hepatocellular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carcinoma: a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multicentre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retrospective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study”. Il campione totale di 146 pazienti coinvolti è stato suddiviso in due gruppi: il 53% di loro (77) è stato seguito tramite il nuovo modello di gestione integrata ambulatoriale, mentre il restante 47% (69 pazienti) è stato affidato a unità oncologiche standard. Sono significativi i vantaggi dell'approccio multidisciplinare. La sopravvivenza libera da progressione (PFS) è risultata nettamente superiore nel gruppo a gestione integrata (13,6 mesi contro 7,7), con un tasso di controllo della malattia (DCR) del 70,1% rispetto al 60,3% del gruppo di controllo. Si è inoltre osservata una drastica riduzione degli eventi avversi epatici (passati dal 40,6% al 10,4%), associata a una gestione più efficiente delle terapie oncologiche.</w:t>
      </w:r>
    </w:p>
    <w:p w:rsidR="00777F37" w:rsidRDefault="00B44DB1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Data la complessità nella gestione del carcinoma epatocellulare, pochi centri italiani hanno implementato ambulatori multidisciplinari integrati (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MDTc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), in cui epatologi e oncologi valutano congiuntamente e globalmente i pazienti.</w:t>
      </w:r>
    </w:p>
    <w:p w:rsidR="00777F37" w:rsidRDefault="00B44DB1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2"/>
          <w:szCs w:val="24"/>
          <w:lang w:eastAsia="en-US"/>
        </w:rPr>
      </w:pPr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Alla realizzazione del progetto hanno contribuito oltre al </w:t>
      </w:r>
      <w:proofErr w:type="spellStart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>dott</w:t>
      </w:r>
      <w:proofErr w:type="spellEnd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>Dalbeni</w:t>
      </w:r>
      <w:proofErr w:type="spellEnd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la dott.ssa </w:t>
      </w:r>
      <w:proofErr w:type="spellStart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>Auriemma</w:t>
      </w:r>
      <w:proofErr w:type="spellEnd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anche il prof Michele Milella direttore </w:t>
      </w:r>
      <w:proofErr w:type="spellStart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>Uoc</w:t>
      </w:r>
      <w:proofErr w:type="spellEnd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Oncologia, il prof David Sacerdoti </w:t>
      </w:r>
      <w:r w:rsidR="009D6F0F"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>direttore</w:t>
      </w:r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proofErr w:type="spellStart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>Liver</w:t>
      </w:r>
      <w:proofErr w:type="spellEnd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Unit, Martina Faccini infermiera, </w:t>
      </w:r>
      <w:r w:rsid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Michele </w:t>
      </w:r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Bevilacqua e </w:t>
      </w:r>
      <w:r w:rsid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Filippo </w:t>
      </w:r>
      <w:proofErr w:type="spellStart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>Cattazzo</w:t>
      </w:r>
      <w:proofErr w:type="spellEnd"/>
      <w:r w:rsidRP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dottorandi, </w:t>
      </w:r>
      <w:r w:rsidR="009D6F0F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Marco </w:t>
      </w:r>
      <w:proofErr w:type="spellStart"/>
      <w:r w:rsidRPr="009D6F0F">
        <w:rPr>
          <w:rFonts w:ascii="Century Gothic" w:eastAsia="Calibri" w:hAnsi="Century Gothic"/>
          <w:kern w:val="2"/>
          <w:sz w:val="22"/>
          <w:szCs w:val="24"/>
          <w:lang w:eastAsia="en-US"/>
        </w:rPr>
        <w:t>Vicardi</w:t>
      </w:r>
      <w:proofErr w:type="spellEnd"/>
      <w:r w:rsidRPr="009D6F0F">
        <w:rPr>
          <w:rFonts w:ascii="Century Gothic" w:eastAsia="Calibri" w:hAnsi="Century Gothic"/>
          <w:kern w:val="2"/>
          <w:sz w:val="22"/>
          <w:szCs w:val="24"/>
          <w:lang w:eastAsia="en-US"/>
        </w:rPr>
        <w:t xml:space="preserve"> medico in formazione.</w:t>
      </w:r>
    </w:p>
    <w:p w:rsidR="009D6F0F" w:rsidRDefault="009D6F0F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:rsidR="00777F37" w:rsidRDefault="00B44DB1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proofErr w:type="spellStart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Dalbeni</w:t>
      </w:r>
      <w:proofErr w:type="spellEnd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e </w:t>
      </w:r>
      <w:proofErr w:type="spellStart"/>
      <w:r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Auriemma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: “L’ambulatorio multidisciplinare Onco-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Liver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nasce nella nostra Azienda nel 2022 in concomitanza con la disponibilità di nuovi farmaci per il trattamento del carcinoma epatocellulare, ed è stato il primo ambulatorio di questo genere in Italia. La complessità di questa malattia, che è una patologia tumorale su un fegato malato, ha stimolato noi specialisti con esperienze diverse ad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lastRenderedPageBreak/>
        <w:t>unirci per fornire ai pazienti una gestione integrata più efficace e rapida, ognuno portando le proprie competenze”.</w:t>
      </w:r>
    </w:p>
    <w:p w:rsidR="00777F37" w:rsidRDefault="00777F37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:rsidR="00777F37" w:rsidRDefault="00480EF7">
      <w:pPr>
        <w:suppressAutoHyphens w:val="0"/>
        <w:spacing w:line="254" w:lineRule="auto"/>
        <w:jc w:val="both"/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</w:pPr>
      <w:r w:rsidRPr="00480EF7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Prof Milella: “</w:t>
      </w:r>
      <w:r w:rsidRPr="00480EF7">
        <w:rPr>
          <w:rFonts w:ascii="Century Gothic" w:eastAsia="Calibri" w:hAnsi="Century Gothic"/>
          <w:kern w:val="2"/>
          <w:sz w:val="24"/>
          <w:szCs w:val="24"/>
          <w:lang w:eastAsia="en-US"/>
        </w:rPr>
        <w:t>Questi risultati confermano che l’innovazione organizzativa è altrettanto importante quanto l’introduzione di nuovi farmaci in patologie oncologiche particolarmente complesse, come i tumori primitivi del fegato. Il modello organizzativo si ispira ai principi dell'</w:t>
      </w:r>
      <w:r w:rsidRPr="00480EF7">
        <w:rPr>
          <w:rFonts w:ascii="Century Gothic" w:eastAsia="Calibri" w:hAnsi="Century Gothic"/>
          <w:i/>
          <w:iCs/>
          <w:kern w:val="2"/>
          <w:sz w:val="24"/>
          <w:szCs w:val="24"/>
          <w:lang w:eastAsia="en-US"/>
        </w:rPr>
        <w:t>Healthcare 5.0</w:t>
      </w:r>
      <w:r w:rsidRPr="00480EF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che rappresenta la più recente evoluzione dei paradigmi sanitari che sposta i modelli di cura verso la personalizzazione e la sostenibilità, mettendo al centro la persona malata e integrando tecnologie e modelli organizzativi avanzati. Questi risultati sono soprattutto il frutto della profonda integrazione tra Università (Dipartimento di Ingegneria per la Medicina di Innovazione e Dipartimento di Medicina, di cui fanno parte l’Oncologia e la </w:t>
      </w:r>
      <w:proofErr w:type="spellStart"/>
      <w:r w:rsidRPr="00480EF7">
        <w:rPr>
          <w:rFonts w:ascii="Century Gothic" w:eastAsia="Calibri" w:hAnsi="Century Gothic"/>
          <w:kern w:val="2"/>
          <w:sz w:val="24"/>
          <w:szCs w:val="24"/>
          <w:lang w:eastAsia="en-US"/>
        </w:rPr>
        <w:t>Liver</w:t>
      </w:r>
      <w:proofErr w:type="spellEnd"/>
      <w:r w:rsidRPr="00480EF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Unit</w:t>
      </w:r>
      <w:r w:rsid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)</w:t>
      </w:r>
      <w:r w:rsidRPr="00480EF7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e Azienda Ospedaliera, la cui direzione di sviluppo è appunto quella di fondere Industria 5.0 e Medicina di Precisione in nuovi paradigmi di </w:t>
      </w:r>
      <w:r w:rsidRPr="005D71CA">
        <w:rPr>
          <w:rFonts w:ascii="Century Gothic" w:eastAsia="Calibri" w:hAnsi="Century Gothic"/>
          <w:iCs/>
          <w:kern w:val="2"/>
          <w:sz w:val="24"/>
          <w:szCs w:val="24"/>
          <w:lang w:eastAsia="en-US"/>
        </w:rPr>
        <w:t>Healthcare 5.0</w:t>
      </w:r>
      <w:r w:rsidRPr="005D71CA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”.</w:t>
      </w:r>
    </w:p>
    <w:p w:rsidR="00480EF7" w:rsidRDefault="00480EF7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:rsidR="00480EF7" w:rsidRDefault="00480EF7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:rsidR="005D71CA" w:rsidRPr="005D71CA" w:rsidRDefault="00480EF7" w:rsidP="005D71CA">
      <w:pPr>
        <w:suppressAutoHyphens w:val="0"/>
        <w:spacing w:line="254" w:lineRule="auto"/>
        <w:jc w:val="both"/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</w:pPr>
      <w:r w:rsidRPr="00480EF7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Prof Sacerdoti: </w:t>
      </w:r>
      <w:r w:rsidR="005D71CA" w:rsidRP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“La terapia dell’HCC è solo in parte una terapia oncologica. Il malato è per lo più affetto da cirrosi epatica, sempre più di origine metabolica, per cui v</w:t>
      </w:r>
      <w:r w:rsid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a</w:t>
      </w:r>
      <w:r w:rsidR="005D71CA" w:rsidRP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incontro alle complicanze della cirrosi e delle malattie di base, come il diabete, le malattie cardiovascolari, l’obesità, l’insufficienza renale. Per questo motivo, anche se il tumore è il problema più importante, la gestione della </w:t>
      </w:r>
      <w:r w:rsid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‘</w:t>
      </w:r>
      <w:r w:rsidR="005D71CA" w:rsidRP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quota non-tumorale</w:t>
      </w:r>
      <w:r w:rsid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’</w:t>
      </w:r>
      <w:r w:rsidR="005D71CA" w:rsidRP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della malattia da parte dell’epatologo/internista consente al paziente di affrontare meglio la terapia oncologica, di proseguirla più a lungo, evitando spesso gli effetti collaterali dei farmaci che devono essere prevenuti o ricercati </w:t>
      </w:r>
      <w:proofErr w:type="gramStart"/>
      <w:r w:rsidR="005D71CA" w:rsidRP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prima  di</w:t>
      </w:r>
      <w:proofErr w:type="gramEnd"/>
      <w:r w:rsidR="005D71CA" w:rsidRP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dare manifestazioni cliniche</w:t>
      </w:r>
      <w:r w:rsid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”</w:t>
      </w:r>
      <w:r w:rsidR="005D71CA" w:rsidRPr="005D71CA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  <w:r w:rsidR="005D71CA" w:rsidRPr="005D71CA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 </w:t>
      </w:r>
    </w:p>
    <w:p w:rsidR="005D71CA" w:rsidRPr="005D71CA" w:rsidRDefault="005D71CA" w:rsidP="005D71CA">
      <w:pPr>
        <w:suppressAutoHyphens w:val="0"/>
        <w:spacing w:line="254" w:lineRule="auto"/>
        <w:jc w:val="both"/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</w:pPr>
      <w:r w:rsidRPr="005D71CA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br/>
      </w:r>
    </w:p>
    <w:p w:rsidR="00480EF7" w:rsidRPr="00480EF7" w:rsidRDefault="00480EF7" w:rsidP="00480EF7">
      <w:pPr>
        <w:suppressAutoHyphens w:val="0"/>
        <w:spacing w:line="254" w:lineRule="auto"/>
        <w:jc w:val="both"/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</w:pPr>
    </w:p>
    <w:p w:rsidR="00777F37" w:rsidRDefault="00777F37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:rsidR="00777F37" w:rsidRDefault="00777F37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:rsidR="00777F37" w:rsidRDefault="00777F37">
      <w:pPr>
        <w:suppressAutoHyphens w:val="0"/>
        <w:spacing w:line="254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sectPr w:rsidR="00777F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144" w:rsidRDefault="00EA6144">
      <w:r>
        <w:separator/>
      </w:r>
    </w:p>
  </w:endnote>
  <w:endnote w:type="continuationSeparator" w:id="0">
    <w:p w:rsidR="00EA6144" w:rsidRDefault="00EA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F37" w:rsidRDefault="00B44DB1">
    <w:pPr>
      <w:pStyle w:val="Pidipagina"/>
    </w:pPr>
    <w:r>
      <w:t xml:space="preserve">Ospedale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F37" w:rsidRDefault="00B44DB1">
    <w:pPr>
      <w:pStyle w:val="Pidipagina"/>
      <w:pBdr>
        <w:top w:val="single" w:sz="4" w:space="1" w:color="000000"/>
        <w:bottom w:val="single" w:sz="4" w:space="1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AppleSystemUIFont"/>
        <w:lang w:eastAsia="it-IT"/>
      </w:rPr>
      <w:t>AOUI Verona Notizie</w:t>
    </w:r>
    <w:r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 n° 2222 del 23/10/2025</w:t>
    </w:r>
    <w:r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  <w:t>Sede Legale: Piazzale A. Stefani, 1 – 37126 Verona</w:t>
    </w:r>
  </w:p>
  <w:p w:rsidR="00777F37" w:rsidRDefault="00B44DB1">
    <w:pPr>
      <w:pStyle w:val="Pidipagina"/>
      <w:pBdr>
        <w:top w:val="single" w:sz="4" w:space="1" w:color="000000"/>
        <w:bottom w:val="single" w:sz="4" w:space="1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:rsidR="00777F37" w:rsidRDefault="00EA6144">
    <w:pPr>
      <w:pStyle w:val="Pidipagina"/>
      <w:pBdr>
        <w:top w:val="single" w:sz="4" w:space="1" w:color="000000"/>
        <w:bottom w:val="single" w:sz="4" w:space="1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>
      <w:r w:rsidR="00B44DB1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B44DB1">
      <w:rPr>
        <w:rFonts w:ascii="Century Gothic" w:hAnsi="Century Gothic" w:cs="Century Gothic"/>
        <w:sz w:val="17"/>
        <w:szCs w:val="17"/>
      </w:rPr>
      <w:t xml:space="preserve">  -  e-mail: </w:t>
    </w:r>
    <w:hyperlink r:id="rId2">
      <w:r w:rsidR="00B44DB1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:rsidR="00777F37" w:rsidRDefault="00B44DB1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>
      <w:rPr>
        <w:rStyle w:val="Numeropagina"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F37" w:rsidRDefault="00B44DB1">
    <w:pPr>
      <w:pStyle w:val="Pidipagina"/>
      <w:pBdr>
        <w:top w:val="single" w:sz="4" w:space="1" w:color="000000"/>
        <w:bottom w:val="single" w:sz="4" w:space="1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AppleSystemUIFont"/>
        <w:lang w:eastAsia="it-IT"/>
      </w:rPr>
      <w:t>AOUI Verona Notizie</w:t>
    </w:r>
    <w:r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 n° 2222 del 23/10/2025</w:t>
    </w:r>
    <w:r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  <w:t>Sede Legale: Piazzale A. Stefani, 1 – 37126 Verona</w:t>
    </w:r>
  </w:p>
  <w:p w:rsidR="00777F37" w:rsidRDefault="00B44DB1">
    <w:pPr>
      <w:pStyle w:val="Pidipagina"/>
      <w:pBdr>
        <w:top w:val="single" w:sz="4" w:space="1" w:color="000000"/>
        <w:bottom w:val="single" w:sz="4" w:space="1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:rsidR="00777F37" w:rsidRDefault="00EA6144">
    <w:pPr>
      <w:pStyle w:val="Pidipagina"/>
      <w:pBdr>
        <w:top w:val="single" w:sz="4" w:space="1" w:color="000000"/>
        <w:bottom w:val="single" w:sz="4" w:space="1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>
      <w:r w:rsidR="00B44DB1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B44DB1">
      <w:rPr>
        <w:rFonts w:ascii="Century Gothic" w:hAnsi="Century Gothic" w:cs="Century Gothic"/>
        <w:sz w:val="17"/>
        <w:szCs w:val="17"/>
      </w:rPr>
      <w:t xml:space="preserve">  -  e-mail: </w:t>
    </w:r>
    <w:hyperlink r:id="rId2">
      <w:r w:rsidR="00B44DB1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:rsidR="00777F37" w:rsidRDefault="00B44DB1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>
      <w:rPr>
        <w:rStyle w:val="Numeropagina"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144" w:rsidRDefault="00EA6144">
      <w:r>
        <w:separator/>
      </w:r>
    </w:p>
  </w:footnote>
  <w:footnote w:type="continuationSeparator" w:id="0">
    <w:p w:rsidR="00EA6144" w:rsidRDefault="00EA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F37" w:rsidRDefault="00B44DB1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1" name="Immagine 1" descr="Logo Università degli Studi di Ve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Università degli Studi di Vero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13" r="-13" b="-13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1" locked="0" layoutInCell="1" allowOverlap="1">
          <wp:simplePos x="0" y="0"/>
          <wp:positionH relativeFrom="column">
            <wp:posOffset>229870</wp:posOffset>
          </wp:positionH>
          <wp:positionV relativeFrom="paragraph">
            <wp:posOffset>-12700</wp:posOffset>
          </wp:positionV>
          <wp:extent cx="629920" cy="608965"/>
          <wp:effectExtent l="0" t="0" r="0" b="0"/>
          <wp:wrapNone/>
          <wp:docPr id="2" name="Oggetto 1" descr="Logo Ospedale Santa Casa di Misericordia in Ver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ggetto 1" descr="Logo Ospedale Santa Casa di Misericordia in Vero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259" t="-34" r="-30" b="7474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  <w:szCs w:val="26"/>
      </w:rPr>
      <w:t>AZIENDA OSPEDALIERA UNIVERSITARIA INTEGRATA</w:t>
    </w:r>
  </w:p>
  <w:p w:rsidR="00777F37" w:rsidRDefault="00B44DB1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:rsidR="00777F37" w:rsidRDefault="00B44DB1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 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777F37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777F37" w:rsidRDefault="00B44DB1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:rsidR="00777F37" w:rsidRDefault="00777F37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37"/>
    <w:rsid w:val="000424E4"/>
    <w:rsid w:val="00127CFB"/>
    <w:rsid w:val="00480EF7"/>
    <w:rsid w:val="005D71CA"/>
    <w:rsid w:val="00680357"/>
    <w:rsid w:val="00777F37"/>
    <w:rsid w:val="008A492F"/>
    <w:rsid w:val="009D6F0F"/>
    <w:rsid w:val="00B44DB1"/>
    <w:rsid w:val="00E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9AD2"/>
  <w15:docId w15:val="{716E1912-9774-4135-8AA3-C9C94519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  <w:qFormat/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character" w:customStyle="1" w:styleId="TitoloCarattere">
    <w:name w:val="Titolo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qFormat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24BA0"/>
    <w:rPr>
      <w:rFonts w:ascii="Segoe UI" w:hAnsi="Segoe UI" w:cs="Segoe UI"/>
      <w:sz w:val="18"/>
      <w:szCs w:val="18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">
    <w:name w:val="Titolo1"/>
    <w:basedOn w:val="Normale"/>
    <w:next w:val="Normale"/>
    <w:qFormat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qFormat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qFormat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24BA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02F7A-AA28-4CE0-891A-0B9AC69C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dc:description/>
  <cp:lastModifiedBy>MIRELLA GOBBI SPROCAGNOCCHI</cp:lastModifiedBy>
  <cp:revision>16</cp:revision>
  <cp:lastPrinted>2026-04-01T10:26:00Z</cp:lastPrinted>
  <dcterms:created xsi:type="dcterms:W3CDTF">2026-04-01T10:21:00Z</dcterms:created>
  <dcterms:modified xsi:type="dcterms:W3CDTF">2026-05-06T16:11:00Z</dcterms:modified>
  <dc:language>it-IT</dc:language>
</cp:coreProperties>
</file>