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58FB1F2" w14:textId="5E2DE1F2" w:rsidR="00974189" w:rsidRDefault="004444B6" w:rsidP="004444B6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Servizio </w:t>
      </w:r>
      <w:r w:rsidR="00BE178C">
        <w:rPr>
          <w:rFonts w:ascii="Century Gothic" w:hAnsi="Century Gothic" w:cs="Century Gothic"/>
          <w:b/>
          <w:bCs/>
          <w:kern w:val="2"/>
          <w:sz w:val="28"/>
          <w:szCs w:val="28"/>
        </w:rPr>
        <w:t>F</w:t>
      </w:r>
      <w:r w:rsidR="00047F30">
        <w:rPr>
          <w:rFonts w:ascii="Century Gothic" w:hAnsi="Century Gothic" w:cs="Century Gothic"/>
          <w:b/>
          <w:bCs/>
          <w:kern w:val="2"/>
          <w:sz w:val="28"/>
          <w:szCs w:val="28"/>
        </w:rPr>
        <w:t>isiopatologia</w:t>
      </w:r>
      <w:r w:rsidR="002D2C9D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digestiva</w:t>
      </w:r>
      <w:r w:rsidR="00974189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di Borgo Roma</w:t>
      </w:r>
      <w:r w:rsidR="00C61612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è Centro </w:t>
      </w:r>
      <w:proofErr w:type="spellStart"/>
      <w:r w:rsidR="00C61612">
        <w:rPr>
          <w:rFonts w:ascii="Century Gothic" w:hAnsi="Century Gothic" w:cs="Century Gothic"/>
          <w:b/>
          <w:bCs/>
          <w:kern w:val="2"/>
          <w:sz w:val="28"/>
          <w:szCs w:val="28"/>
        </w:rPr>
        <w:t>Singem</w:t>
      </w:r>
      <w:proofErr w:type="spellEnd"/>
      <w:r w:rsidR="002D2C9D"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 </w:t>
      </w:r>
    </w:p>
    <w:p w14:paraId="42D7E475" w14:textId="77777777" w:rsidR="00974189" w:rsidRDefault="00974189" w:rsidP="004444B6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65D03C96" w14:textId="7D3B1416" w:rsidR="004444B6" w:rsidRDefault="004444B6" w:rsidP="004444B6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  <w:r>
        <w:rPr>
          <w:rFonts w:ascii="Century Gothic" w:hAnsi="Century Gothic" w:cs="Century Gothic"/>
          <w:b/>
          <w:bCs/>
          <w:kern w:val="2"/>
          <w:sz w:val="28"/>
          <w:szCs w:val="28"/>
        </w:rPr>
        <w:t xml:space="preserve">Nel 2025 oltre 1200 </w:t>
      </w:r>
      <w:r>
        <w:rPr>
          <w:rFonts w:ascii="Century Gothic" w:hAnsi="Century Gothic"/>
          <w:b/>
          <w:bCs/>
          <w:kern w:val="2"/>
          <w:sz w:val="28"/>
          <w:szCs w:val="28"/>
        </w:rPr>
        <w:t>esami diagnostici</w:t>
      </w:r>
      <w:r w:rsidR="00C61612">
        <w:rPr>
          <w:rFonts w:ascii="Century Gothic" w:hAnsi="Century Gothic"/>
          <w:b/>
          <w:bCs/>
          <w:kern w:val="2"/>
          <w:sz w:val="28"/>
          <w:szCs w:val="28"/>
        </w:rPr>
        <w:t xml:space="preserve"> di alta specializzazione per il reflusso gastroesofageo </w:t>
      </w:r>
    </w:p>
    <w:p w14:paraId="3F0E352C" w14:textId="77777777" w:rsidR="004444B6" w:rsidRDefault="004444B6" w:rsidP="002429E5">
      <w:pPr>
        <w:suppressAutoHyphens w:val="0"/>
        <w:spacing w:line="256" w:lineRule="auto"/>
        <w:jc w:val="center"/>
        <w:rPr>
          <w:rFonts w:ascii="Century Gothic" w:hAnsi="Century Gothic" w:cs="Century Gothic"/>
          <w:b/>
          <w:bCs/>
          <w:kern w:val="2"/>
          <w:sz w:val="28"/>
          <w:szCs w:val="28"/>
        </w:rPr>
      </w:pPr>
    </w:p>
    <w:p w14:paraId="3CCC54B7" w14:textId="77777777" w:rsidR="00E57256" w:rsidRDefault="00E57256" w:rsidP="00E57256"/>
    <w:p w14:paraId="36082373" w14:textId="5F7B8C57" w:rsidR="00541E00" w:rsidRDefault="00E5725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9D4DB4">
        <w:rPr>
          <w:rFonts w:ascii="Century Gothic" w:hAnsi="Century Gothic" w:cs="Century Gothic"/>
          <w:kern w:val="2"/>
          <w:sz w:val="24"/>
          <w:szCs w:val="24"/>
        </w:rPr>
        <w:t>Verona,</w:t>
      </w:r>
      <w:r w:rsidR="008C547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974189">
        <w:rPr>
          <w:rFonts w:ascii="Century Gothic" w:hAnsi="Century Gothic" w:cs="Century Gothic"/>
          <w:kern w:val="2"/>
          <w:sz w:val="24"/>
          <w:szCs w:val="24"/>
        </w:rPr>
        <w:t>29</w:t>
      </w:r>
      <w:r w:rsidR="00E96F6B">
        <w:rPr>
          <w:rFonts w:ascii="Century Gothic" w:hAnsi="Century Gothic" w:cs="Century Gothic"/>
          <w:kern w:val="2"/>
          <w:sz w:val="24"/>
          <w:szCs w:val="24"/>
        </w:rPr>
        <w:t xml:space="preserve"> agosto </w:t>
      </w:r>
      <w:r w:rsidR="002A76EF">
        <w:rPr>
          <w:rFonts w:ascii="Century Gothic" w:hAnsi="Century Gothic" w:cs="Century Gothic"/>
          <w:kern w:val="2"/>
          <w:sz w:val="24"/>
          <w:szCs w:val="24"/>
        </w:rPr>
        <w:t>2026</w:t>
      </w:r>
    </w:p>
    <w:p w14:paraId="6FF836A6" w14:textId="40701FCF" w:rsidR="006837B6" w:rsidRDefault="006837B6" w:rsidP="00541E0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CA2773B" w14:textId="3FF62104" w:rsidR="002429E5" w:rsidRDefault="00974189" w:rsidP="002429E5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I</w:t>
      </w:r>
      <w:r w:rsidR="002429E5" w:rsidRPr="00667F8F">
        <w:rPr>
          <w:rFonts w:ascii="Century Gothic" w:hAnsi="Century Gothic" w:cs="Century Gothic"/>
          <w:kern w:val="2"/>
          <w:sz w:val="24"/>
          <w:szCs w:val="24"/>
        </w:rPr>
        <w:t>nteressa</w:t>
      </w:r>
      <w:r>
        <w:rPr>
          <w:rFonts w:ascii="Century Gothic" w:hAnsi="Century Gothic" w:cs="Century Gothic"/>
          <w:kern w:val="2"/>
          <w:sz w:val="24"/>
          <w:szCs w:val="24"/>
        </w:rPr>
        <w:t>no</w:t>
      </w:r>
      <w:r w:rsidR="00753B34" w:rsidRPr="00667F8F">
        <w:rPr>
          <w:rFonts w:ascii="Century Gothic" w:hAnsi="Century Gothic" w:cs="Century Gothic"/>
          <w:kern w:val="2"/>
          <w:sz w:val="24"/>
          <w:szCs w:val="24"/>
        </w:rPr>
        <w:t xml:space="preserve"> esofago, stomaco e intestino</w:t>
      </w:r>
      <w:r>
        <w:rPr>
          <w:rFonts w:ascii="Century Gothic" w:hAnsi="Century Gothic" w:cs="Century Gothic"/>
          <w:kern w:val="2"/>
          <w:sz w:val="24"/>
          <w:szCs w:val="24"/>
        </w:rPr>
        <w:t>. Sono i</w:t>
      </w:r>
      <w:r w:rsidRPr="00974189">
        <w:rPr>
          <w:rFonts w:ascii="Century Gothic" w:hAnsi="Century Gothic" w:cs="Century Gothic"/>
          <w:kern w:val="2"/>
          <w:sz w:val="24"/>
          <w:szCs w:val="24"/>
        </w:rPr>
        <w:t xml:space="preserve"> disturbi funzionali e della motilità dell’apparato digerente </w:t>
      </w:r>
      <w:r>
        <w:rPr>
          <w:rFonts w:ascii="Century Gothic" w:hAnsi="Century Gothic" w:cs="Century Gothic"/>
          <w:kern w:val="2"/>
          <w:sz w:val="24"/>
          <w:szCs w:val="24"/>
        </w:rPr>
        <w:t>che possono</w:t>
      </w:r>
      <w:r w:rsidRPr="00974189">
        <w:rPr>
          <w:rFonts w:ascii="Century Gothic" w:hAnsi="Century Gothic" w:cs="Century Gothic"/>
          <w:kern w:val="2"/>
          <w:sz w:val="24"/>
          <w:szCs w:val="24"/>
        </w:rPr>
        <w:t xml:space="preserve"> essere persistenti</w:t>
      </w:r>
      <w:r>
        <w:rPr>
          <w:rFonts w:ascii="Century Gothic" w:hAnsi="Century Gothic" w:cs="Century Gothic"/>
          <w:kern w:val="2"/>
          <w:sz w:val="24"/>
          <w:szCs w:val="24"/>
        </w:rPr>
        <w:t>,</w:t>
      </w:r>
      <w:r w:rsidRPr="00974189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>
        <w:rPr>
          <w:rFonts w:ascii="Century Gothic" w:hAnsi="Century Gothic" w:cs="Century Gothic"/>
          <w:kern w:val="2"/>
          <w:sz w:val="24"/>
          <w:szCs w:val="24"/>
        </w:rPr>
        <w:t>incidendo</w:t>
      </w:r>
      <w:r w:rsidRPr="00974189">
        <w:rPr>
          <w:rFonts w:ascii="Century Gothic" w:hAnsi="Century Gothic" w:cs="Century Gothic"/>
          <w:kern w:val="2"/>
          <w:sz w:val="24"/>
          <w:szCs w:val="24"/>
        </w:rPr>
        <w:t xml:space="preserve"> in modo significativo sulla qualità della vita.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Si manifestano</w:t>
      </w:r>
      <w:r w:rsidR="00753B34" w:rsidRPr="00667F8F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2429E5" w:rsidRPr="00667F8F">
        <w:rPr>
          <w:rFonts w:ascii="Century Gothic" w:hAnsi="Century Gothic" w:cs="Century Gothic"/>
          <w:kern w:val="2"/>
          <w:sz w:val="24"/>
          <w:szCs w:val="24"/>
        </w:rPr>
        <w:t>con sintomi molto comuni</w:t>
      </w:r>
      <w:r w:rsidR="00753B34" w:rsidRPr="00667F8F">
        <w:rPr>
          <w:rFonts w:ascii="Century Gothic" w:hAnsi="Century Gothic" w:cs="Century Gothic"/>
          <w:kern w:val="2"/>
          <w:sz w:val="24"/>
          <w:szCs w:val="24"/>
        </w:rPr>
        <w:t xml:space="preserve">: </w:t>
      </w:r>
      <w:r w:rsidR="00667F8F" w:rsidRPr="00667F8F">
        <w:rPr>
          <w:rFonts w:ascii="Century Gothic" w:hAnsi="Century Gothic" w:cs="Century Gothic"/>
          <w:kern w:val="2"/>
          <w:sz w:val="24"/>
          <w:szCs w:val="24"/>
        </w:rPr>
        <w:t>bruciore dietro lo sterno, rigurgito acido, difficoltà a deglutire, gonfiore addominale, dolore, stitichezza o difficoltà nell’evacuazione</w:t>
      </w:r>
      <w:r w:rsidR="002429E5" w:rsidRPr="00667F8F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</w:p>
    <w:p w14:paraId="1236AE05" w14:textId="77777777" w:rsidR="002429E5" w:rsidRDefault="002429E5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F1B27C1" w14:textId="187EE866" w:rsidR="00047F30" w:rsidRDefault="00C61612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kern w:val="2"/>
          <w:sz w:val="24"/>
          <w:szCs w:val="24"/>
        </w:rPr>
        <w:t>A diagnosticare e curare questi disturbi è i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l Servizio di Fisiopa</w:t>
      </w:r>
      <w:r w:rsidR="00230550">
        <w:rPr>
          <w:rFonts w:ascii="Century Gothic" w:hAnsi="Century Gothic" w:cs="Century Gothic"/>
          <w:kern w:val="2"/>
          <w:sz w:val="24"/>
          <w:szCs w:val="24"/>
        </w:rPr>
        <w:t xml:space="preserve">tologia Digestiva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di Borgo Roma</w:t>
      </w:r>
      <w:r w:rsidR="004444B6">
        <w:rPr>
          <w:rFonts w:ascii="Century Gothic" w:hAnsi="Century Gothic" w:cs="Century Gothic"/>
          <w:kern w:val="2"/>
          <w:sz w:val="24"/>
          <w:szCs w:val="24"/>
        </w:rPr>
        <w:t xml:space="preserve">, </w:t>
      </w:r>
      <w:r w:rsidR="00974189">
        <w:rPr>
          <w:rFonts w:ascii="Century Gothic" w:hAnsi="Century Gothic" w:cs="Century Gothic"/>
          <w:kern w:val="2"/>
          <w:sz w:val="24"/>
          <w:szCs w:val="24"/>
        </w:rPr>
        <w:t>de</w:t>
      </w:r>
      <w:r w:rsidR="004444B6">
        <w:rPr>
          <w:rFonts w:ascii="Century Gothic" w:hAnsi="Century Gothic" w:cs="Century Gothic"/>
          <w:kern w:val="2"/>
          <w:sz w:val="24"/>
          <w:szCs w:val="24"/>
        </w:rPr>
        <w:t>ll’</w:t>
      </w:r>
      <w:proofErr w:type="spellStart"/>
      <w:r w:rsidR="004444B6">
        <w:rPr>
          <w:rFonts w:ascii="Century Gothic" w:hAnsi="Century Gothic" w:cs="Century Gothic"/>
          <w:kern w:val="2"/>
          <w:sz w:val="24"/>
          <w:szCs w:val="24"/>
        </w:rPr>
        <w:t>Uoc</w:t>
      </w:r>
      <w:proofErr w:type="spellEnd"/>
      <w:r w:rsidR="004444B6">
        <w:rPr>
          <w:rFonts w:ascii="Century Gothic" w:hAnsi="Century Gothic" w:cs="Century Gothic"/>
          <w:kern w:val="2"/>
          <w:sz w:val="24"/>
          <w:szCs w:val="24"/>
        </w:rPr>
        <w:t xml:space="preserve"> Gastroenterologia B diretta dal prof. Luca Frulloni,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che ha appena ottenuto il</w:t>
      </w:r>
      <w:r w:rsidR="00B1304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riconosci</w:t>
      </w:r>
      <w:r>
        <w:rPr>
          <w:rFonts w:ascii="Century Gothic" w:hAnsi="Century Gothic" w:cs="Century Gothic"/>
          <w:kern w:val="2"/>
          <w:sz w:val="24"/>
          <w:szCs w:val="24"/>
        </w:rPr>
        <w:t>mento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 xml:space="preserve"> dalla S</w:t>
      </w:r>
      <w:r>
        <w:rPr>
          <w:rFonts w:ascii="Century Gothic" w:hAnsi="Century Gothic" w:cs="Century Gothic"/>
          <w:kern w:val="2"/>
          <w:sz w:val="24"/>
          <w:szCs w:val="24"/>
        </w:rPr>
        <w:t>INGEM/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Società</w:t>
      </w:r>
      <w:r w:rsidR="004444B6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Italiana di Neu</w:t>
      </w:r>
      <w:r w:rsidR="00B13046">
        <w:rPr>
          <w:rFonts w:ascii="Century Gothic" w:hAnsi="Century Gothic" w:cs="Century Gothic"/>
          <w:kern w:val="2"/>
          <w:sz w:val="24"/>
          <w:szCs w:val="24"/>
        </w:rPr>
        <w:t>rogastroenterologia e Motilità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come </w:t>
      </w:r>
      <w:r w:rsidRPr="00C61612">
        <w:rPr>
          <w:rFonts w:ascii="Century Gothic" w:hAnsi="Century Gothic" w:cs="Century Gothic"/>
          <w:kern w:val="2"/>
          <w:sz w:val="24"/>
          <w:szCs w:val="24"/>
        </w:rPr>
        <w:t>Centr</w:t>
      </w:r>
      <w:r>
        <w:rPr>
          <w:rFonts w:ascii="Century Gothic" w:hAnsi="Century Gothic" w:cs="Century Gothic"/>
          <w:kern w:val="2"/>
          <w:sz w:val="24"/>
          <w:szCs w:val="24"/>
        </w:rPr>
        <w:t>o</w:t>
      </w:r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 italian</w:t>
      </w:r>
      <w:r>
        <w:rPr>
          <w:rFonts w:ascii="Century Gothic" w:hAnsi="Century Gothic" w:cs="Century Gothic"/>
          <w:kern w:val="2"/>
          <w:sz w:val="24"/>
          <w:szCs w:val="24"/>
        </w:rPr>
        <w:t>o di riferimento</w:t>
      </w:r>
      <w:r w:rsidR="00B13046">
        <w:rPr>
          <w:rFonts w:ascii="Century Gothic" w:hAnsi="Century Gothic" w:cs="Century Gothic"/>
          <w:kern w:val="2"/>
          <w:sz w:val="24"/>
          <w:szCs w:val="24"/>
        </w:rPr>
        <w:t xml:space="preserve">.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L’accreditamento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nel circuito nazionale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 xml:space="preserve"> rappresenta un importante riconoscimento della qualità dell’attività</w:t>
      </w:r>
      <w:r w:rsidR="00047F3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diagnostica, delle competenze professionali e delle tecnologie impiegate dal Servizio</w:t>
      </w:r>
      <w:r w:rsidR="00047F3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nello studio dei disturbi funzionali e della motilità dell’apparato digerente.</w:t>
      </w:r>
    </w:p>
    <w:p w14:paraId="57A65F81" w14:textId="24AAB886" w:rsidR="00C61612" w:rsidRDefault="00C61612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715F9B40" w14:textId="77777777" w:rsidR="00C61612" w:rsidRPr="00C61612" w:rsidRDefault="00C61612" w:rsidP="00C61612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C61612">
        <w:rPr>
          <w:rFonts w:ascii="Century Gothic" w:hAnsi="Century Gothic" w:cs="Century Gothic"/>
          <w:b/>
          <w:kern w:val="2"/>
          <w:sz w:val="24"/>
          <w:szCs w:val="24"/>
        </w:rPr>
        <w:t>Fisiopatologia digestiva Borgo Roma.</w:t>
      </w:r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 Nel corso del 2025 il Centro, coordinato dal dott. Federico </w:t>
      </w:r>
      <w:proofErr w:type="spellStart"/>
      <w:r w:rsidRPr="00C61612">
        <w:rPr>
          <w:rFonts w:ascii="Century Gothic" w:hAnsi="Century Gothic" w:cs="Century Gothic"/>
          <w:kern w:val="2"/>
          <w:sz w:val="24"/>
          <w:szCs w:val="24"/>
        </w:rPr>
        <w:t>Caldart</w:t>
      </w:r>
      <w:proofErr w:type="spellEnd"/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, insieme al personale infermieristico specializzato, composto da Francesca Cidoni e Nadia Mura, ha eseguito oltre 1200 prestazioni, tra </w:t>
      </w:r>
      <w:proofErr w:type="spellStart"/>
      <w:r w:rsidRPr="00C61612">
        <w:rPr>
          <w:rFonts w:ascii="Century Gothic" w:hAnsi="Century Gothic" w:cs="Century Gothic"/>
          <w:kern w:val="2"/>
          <w:sz w:val="24"/>
          <w:szCs w:val="24"/>
        </w:rPr>
        <w:t>breath</w:t>
      </w:r>
      <w:proofErr w:type="spellEnd"/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 test al lattosio e al </w:t>
      </w:r>
      <w:proofErr w:type="spellStart"/>
      <w:r w:rsidRPr="00C61612">
        <w:rPr>
          <w:rFonts w:ascii="Century Gothic" w:hAnsi="Century Gothic" w:cs="Century Gothic"/>
          <w:kern w:val="2"/>
          <w:sz w:val="24"/>
          <w:szCs w:val="24"/>
        </w:rPr>
        <w:t>lattulosio</w:t>
      </w:r>
      <w:proofErr w:type="spellEnd"/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, manometrie esofagee e anorettali e </w:t>
      </w:r>
      <w:proofErr w:type="spellStart"/>
      <w:r w:rsidRPr="00C61612">
        <w:rPr>
          <w:rFonts w:ascii="Century Gothic" w:hAnsi="Century Gothic" w:cs="Century Gothic"/>
          <w:kern w:val="2"/>
          <w:sz w:val="24"/>
          <w:szCs w:val="24"/>
        </w:rPr>
        <w:t>pH-impedenziometrie</w:t>
      </w:r>
      <w:proofErr w:type="spellEnd"/>
      <w:r w:rsidRPr="00C61612">
        <w:rPr>
          <w:rFonts w:ascii="Century Gothic" w:hAnsi="Century Gothic" w:cs="Century Gothic"/>
          <w:kern w:val="2"/>
          <w:sz w:val="24"/>
          <w:szCs w:val="24"/>
        </w:rPr>
        <w:t xml:space="preserve"> delle 24 ore.</w:t>
      </w:r>
    </w:p>
    <w:p w14:paraId="7BD3D690" w14:textId="77777777" w:rsidR="00C61612" w:rsidRPr="00C61612" w:rsidRDefault="00C61612" w:rsidP="00C61612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</w:p>
    <w:p w14:paraId="3A0641EA" w14:textId="298B10AE" w:rsidR="00047F30" w:rsidRPr="00047F30" w:rsidRDefault="00C61612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>Il reflusso gastroesofageo</w:t>
      </w:r>
      <w:r w:rsidR="002429E5" w:rsidRPr="00B13046">
        <w:rPr>
          <w:rFonts w:ascii="Century Gothic" w:hAnsi="Century Gothic" w:cs="Century Gothic"/>
          <w:b/>
          <w:kern w:val="2"/>
          <w:sz w:val="24"/>
          <w:szCs w:val="24"/>
        </w:rPr>
        <w:t>.</w:t>
      </w:r>
      <w:r w:rsidR="00667F8F">
        <w:rPr>
          <w:rFonts w:ascii="Century Gothic" w:hAnsi="Century Gothic" w:cs="Century Gothic"/>
          <w:kern w:val="2"/>
          <w:sz w:val="24"/>
          <w:szCs w:val="24"/>
        </w:rPr>
        <w:t xml:space="preserve"> Gli esami specialistici consentono di approfondire diverse condizioni.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Il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reflusso gastroesofageo, per esempio, si verifica quando il contenuto dello stomaco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risale verso l’esofago e può provocare bruciore, acidità, rigurgito, e, in casi più rari,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associarsi a tosse o raucedine. I disturbi della deglutizione possono invece causare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la sensazione che il cibo si fermi o scenda con difficoltà, talvolta accompagnata da</w:t>
      </w:r>
      <w:r w:rsidR="00047F3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dolore al petto.</w:t>
      </w:r>
    </w:p>
    <w:p w14:paraId="3B0F12D0" w14:textId="570BA3DF" w:rsidR="00047F30" w:rsidRDefault="00047F30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 w:rsidRPr="00047F30">
        <w:rPr>
          <w:rFonts w:ascii="Century Gothic" w:hAnsi="Century Gothic" w:cs="Century Gothic"/>
          <w:kern w:val="2"/>
          <w:sz w:val="24"/>
          <w:szCs w:val="24"/>
        </w:rPr>
        <w:t xml:space="preserve">I </w:t>
      </w:r>
      <w:proofErr w:type="spellStart"/>
      <w:r w:rsidRPr="00047F30">
        <w:rPr>
          <w:rFonts w:ascii="Century Gothic" w:hAnsi="Century Gothic" w:cs="Century Gothic"/>
          <w:kern w:val="2"/>
          <w:sz w:val="24"/>
          <w:szCs w:val="24"/>
        </w:rPr>
        <w:t>breath</w:t>
      </w:r>
      <w:proofErr w:type="spellEnd"/>
      <w:r w:rsidRPr="00047F30">
        <w:rPr>
          <w:rFonts w:ascii="Century Gothic" w:hAnsi="Century Gothic" w:cs="Century Gothic"/>
          <w:kern w:val="2"/>
          <w:sz w:val="24"/>
          <w:szCs w:val="24"/>
        </w:rPr>
        <w:t xml:space="preserve"> test permettono inoltre di individuare con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dizioni come il malassorbimento 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t>del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t xml:space="preserve">lattosio, che può provocare gonfiore, crampi addominali, produzione </w:t>
      </w:r>
      <w:r w:rsidR="002429E5" w:rsidRPr="00047F30">
        <w:rPr>
          <w:rFonts w:ascii="Century Gothic" w:hAnsi="Century Gothic" w:cs="Century Gothic"/>
          <w:kern w:val="2"/>
          <w:sz w:val="24"/>
          <w:szCs w:val="24"/>
        </w:rPr>
        <w:t xml:space="preserve">eccessiva 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>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t xml:space="preserve">gas e diarrea dopo il consumo di latte o derivati contenenti questo zucchero. </w:t>
      </w:r>
      <w:r w:rsidR="002429E5" w:rsidRPr="00047F30">
        <w:rPr>
          <w:rFonts w:ascii="Century Gothic" w:hAnsi="Century Gothic" w:cs="Century Gothic"/>
          <w:kern w:val="2"/>
          <w:sz w:val="24"/>
          <w:szCs w:val="24"/>
        </w:rPr>
        <w:t>Le</w:t>
      </w:r>
      <w:r w:rsidR="002429E5">
        <w:rPr>
          <w:rFonts w:ascii="Century Gothic" w:hAnsi="Century Gothic" w:cs="Century Gothic"/>
          <w:kern w:val="2"/>
          <w:sz w:val="24"/>
          <w:szCs w:val="24"/>
        </w:rPr>
        <w:t xml:space="preserve"> manometrie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t xml:space="preserve"> anorettali aiutano infine a studiare disturbi quali la stitichezza,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lastRenderedPageBreak/>
        <w:t>l’evacuazione difficoltosa e l’incontinenza fecale, valutando il funzionamento dei</w:t>
      </w:r>
      <w:r w:rsidR="008F1BE5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Pr="00047F30">
        <w:rPr>
          <w:rFonts w:ascii="Century Gothic" w:hAnsi="Century Gothic" w:cs="Century Gothic"/>
          <w:kern w:val="2"/>
          <w:sz w:val="24"/>
          <w:szCs w:val="24"/>
        </w:rPr>
        <w:t>muscoli retto-anali coinvolti.</w:t>
      </w:r>
    </w:p>
    <w:p w14:paraId="4946B6F0" w14:textId="0EB56669" w:rsidR="00C61612" w:rsidRPr="00BE178C" w:rsidRDefault="00C61612" w:rsidP="6F136A4C">
      <w:pPr>
        <w:spacing w:before="240" w:after="240"/>
        <w:jc w:val="both"/>
      </w:pPr>
      <w:bookmarkStart w:id="0" w:name="_GoBack"/>
      <w:bookmarkEnd w:id="0"/>
      <w:r w:rsidRPr="02B28DF5">
        <w:rPr>
          <w:rFonts w:ascii="Century Gothic" w:hAnsi="Century Gothic" w:cs="Century Gothic"/>
          <w:b/>
          <w:bCs/>
          <w:kern w:val="2"/>
          <w:sz w:val="24"/>
          <w:szCs w:val="24"/>
        </w:rPr>
        <w:t>Prof Frulloni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: </w:t>
      </w:r>
      <w:r w:rsidR="405D3C1C" w:rsidRPr="00BE178C">
        <w:rPr>
          <w:rFonts w:ascii="Century Gothic" w:hAnsi="Century Gothic" w:cs="Century Gothic"/>
          <w:sz w:val="24"/>
          <w:szCs w:val="24"/>
        </w:rPr>
        <w:t>"</w:t>
      </w:r>
      <w:r w:rsidR="405D3C1C" w:rsidRPr="00BE178C">
        <w:rPr>
          <w:rFonts w:ascii="Century Gothic" w:eastAsia="Century Gothic" w:hAnsi="Century Gothic" w:cs="Century Gothic"/>
          <w:sz w:val="24"/>
          <w:szCs w:val="24"/>
        </w:rPr>
        <w:t>Abbiamo investito in tecnologie avanzate e nella valorizzazione delle competenze professionali, con l’obiettivo di garantire continuità e qualità assistenziale nell’ambito di patologie molto diffuse e spesso capaci di incidere profondamente sulla vita dei pazienti. L’accreditamento SINGEM premia il lavoro svolto dall’intera équipe e rappresenta uno stimolo a consolidare e migliorare ulteriormente il servizio”</w:t>
      </w:r>
    </w:p>
    <w:p w14:paraId="0DB20213" w14:textId="7795A616" w:rsidR="002429E5" w:rsidRPr="004607E9" w:rsidRDefault="008F1BE5" w:rsidP="00047F30">
      <w:pPr>
        <w:ind w:right="-35"/>
        <w:jc w:val="both"/>
        <w:rPr>
          <w:rFonts w:ascii="Century Gothic" w:hAnsi="Century Gothic" w:cs="Century Gothic"/>
          <w:kern w:val="2"/>
          <w:sz w:val="24"/>
          <w:szCs w:val="24"/>
        </w:rPr>
      </w:pPr>
      <w:r>
        <w:rPr>
          <w:rFonts w:ascii="Century Gothic" w:hAnsi="Century Gothic" w:cs="Century Gothic"/>
          <w:b/>
          <w:kern w:val="2"/>
          <w:sz w:val="24"/>
          <w:szCs w:val="24"/>
        </w:rPr>
        <w:t xml:space="preserve">Dott. Federico </w:t>
      </w:r>
      <w:proofErr w:type="spellStart"/>
      <w:r w:rsidR="002429E5" w:rsidRPr="008F1BE5">
        <w:rPr>
          <w:rFonts w:ascii="Century Gothic" w:hAnsi="Century Gothic" w:cs="Century Gothic"/>
          <w:b/>
          <w:kern w:val="2"/>
          <w:sz w:val="24"/>
          <w:szCs w:val="24"/>
        </w:rPr>
        <w:t>Caldart</w:t>
      </w:r>
      <w:proofErr w:type="spellEnd"/>
      <w:r w:rsidR="002429E5" w:rsidRPr="008F1BE5">
        <w:rPr>
          <w:rFonts w:ascii="Century Gothic" w:hAnsi="Century Gothic" w:cs="Century Gothic"/>
          <w:b/>
          <w:kern w:val="2"/>
          <w:sz w:val="24"/>
          <w:szCs w:val="24"/>
        </w:rPr>
        <w:t xml:space="preserve">: </w:t>
      </w:r>
      <w:r>
        <w:rPr>
          <w:rFonts w:ascii="Century Gothic" w:hAnsi="Century Gothic" w:cs="Century Gothic"/>
          <w:kern w:val="2"/>
          <w:sz w:val="24"/>
          <w:szCs w:val="24"/>
        </w:rPr>
        <w:t>“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Il riconoscimento della SINGEM conferma il Servizio di Fisiopatologia Digestiva di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Borgo Roma come punto di riferimento specialistico per i pazienti e per i</w:t>
      </w:r>
      <w:r w:rsidR="00047F3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professionisti sanitari, valorizzando un’attività fondata sull’appropriatezza</w:t>
      </w:r>
      <w:r w:rsidR="00047F30">
        <w:rPr>
          <w:rFonts w:ascii="Century Gothic" w:hAnsi="Century Gothic" w:cs="Century Gothic"/>
          <w:kern w:val="2"/>
          <w:sz w:val="24"/>
          <w:szCs w:val="24"/>
        </w:rPr>
        <w:t xml:space="preserve"> </w:t>
      </w:r>
      <w:r w:rsidR="00047F30" w:rsidRPr="00047F30">
        <w:rPr>
          <w:rFonts w:ascii="Century Gothic" w:hAnsi="Century Gothic" w:cs="Century Gothic"/>
          <w:kern w:val="2"/>
          <w:sz w:val="24"/>
          <w:szCs w:val="24"/>
        </w:rPr>
        <w:t>diagnostica, sull’aggiornamento scientifico e sulla qualità dell’assistenza</w:t>
      </w:r>
      <w:r>
        <w:rPr>
          <w:rFonts w:ascii="Century Gothic" w:hAnsi="Century Gothic" w:cs="Century Gothic"/>
          <w:kern w:val="2"/>
          <w:sz w:val="24"/>
          <w:szCs w:val="24"/>
        </w:rPr>
        <w:t xml:space="preserve">”. </w:t>
      </w:r>
    </w:p>
    <w:sectPr w:rsidR="002429E5" w:rsidRPr="004607E9">
      <w:headerReference w:type="default" r:id="rId8"/>
      <w:footerReference w:type="even" r:id="rId9"/>
      <w:footerReference w:type="default" r:id="rId10"/>
      <w:pgSz w:w="11906" w:h="16838"/>
      <w:pgMar w:top="1418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99FA37" w14:textId="77777777" w:rsidR="00013BD4" w:rsidRDefault="00013BD4">
      <w:r>
        <w:separator/>
      </w:r>
    </w:p>
  </w:endnote>
  <w:endnote w:type="continuationSeparator" w:id="0">
    <w:p w14:paraId="6A6C74D6" w14:textId="77777777" w:rsidR="00013BD4" w:rsidRDefault="00013B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BF7687" w14:textId="0BAE0C33" w:rsidR="00713A61" w:rsidRDefault="00566947">
    <w:pPr>
      <w:pStyle w:val="Pidipagina"/>
    </w:pPr>
    <w:r>
      <w:t>Ospedale</w:t>
    </w:r>
    <w:r w:rsidR="00713A61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01CF3" w14:textId="6BA54A8B" w:rsidR="00707657" w:rsidRDefault="00556ED6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 w:rsidRPr="000B2EB4">
      <w:rPr>
        <w:rFonts w:ascii="Century Gothic" w:hAnsi="Century Gothic" w:cs="AppleSystemUIFont"/>
        <w:lang w:eastAsia="it-IT"/>
      </w:rPr>
      <w:t>AOUI Verona Notizie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br/>
      <w:t>Registrazione al Tribunale di Verona</w:t>
    </w:r>
    <w:r w:rsidR="000B2EB4">
      <w:rPr>
        <w:rFonts w:ascii="Century Gothic" w:hAnsi="Century Gothic" w:cs="AppleSystemUIFont"/>
        <w:sz w:val="17"/>
        <w:szCs w:val="17"/>
        <w:lang w:eastAsia="it-IT"/>
      </w:rPr>
      <w:t xml:space="preserve"> </w:t>
    </w:r>
    <w:r w:rsidR="00700B07" w:rsidRPr="006C191D">
      <w:rPr>
        <w:rFonts w:ascii="Century Gothic" w:hAnsi="Century Gothic" w:cs="AppleSystemUIFont"/>
        <w:sz w:val="17"/>
        <w:szCs w:val="17"/>
        <w:lang w:eastAsia="it-IT"/>
      </w:rPr>
      <w:t xml:space="preserve">n° </w:t>
    </w:r>
    <w:r w:rsidR="00150CB8" w:rsidRPr="006C191D">
      <w:rPr>
        <w:rFonts w:ascii="Century Gothic" w:hAnsi="Century Gothic" w:cs="AppleSystemUIFont"/>
        <w:sz w:val="17"/>
        <w:szCs w:val="17"/>
        <w:lang w:eastAsia="it-IT"/>
      </w:rPr>
      <w:t>2222 del 23/10/2025</w:t>
    </w:r>
    <w:r w:rsidR="000B2EB4">
      <w:rPr>
        <w:rFonts w:ascii="Century Gothic" w:hAnsi="Century Gothic" w:cs="AppleSystemUIFont"/>
        <w:sz w:val="17"/>
        <w:szCs w:val="17"/>
        <w:lang w:eastAsia="it-IT"/>
      </w:rPr>
      <w:br/>
    </w:r>
    <w:r>
      <w:rPr>
        <w:rFonts w:ascii="Century Gothic" w:hAnsi="Century Gothic" w:cs="Century Gothic"/>
        <w:sz w:val="17"/>
        <w:szCs w:val="17"/>
      </w:rPr>
      <w:br/>
    </w:r>
    <w:r w:rsidR="00707657">
      <w:rPr>
        <w:rFonts w:ascii="Century Gothic" w:hAnsi="Century Gothic" w:cs="Century Gothic"/>
        <w:sz w:val="17"/>
        <w:szCs w:val="17"/>
      </w:rPr>
      <w:t>Sede Legale: P</w:t>
    </w:r>
    <w:r w:rsidR="00713DD1">
      <w:rPr>
        <w:rFonts w:ascii="Century Gothic" w:hAnsi="Century Gothic" w:cs="Century Gothic"/>
        <w:sz w:val="17"/>
        <w:szCs w:val="17"/>
      </w:rPr>
      <w:t>iazzale</w:t>
    </w:r>
    <w:r w:rsidR="00707657">
      <w:rPr>
        <w:rFonts w:ascii="Century Gothic" w:hAnsi="Century Gothic" w:cs="Century Gothic"/>
        <w:sz w:val="17"/>
        <w:szCs w:val="17"/>
      </w:rPr>
      <w:t xml:space="preserve"> A. Stefani, 1 – 37126 Verona</w:t>
    </w:r>
  </w:p>
  <w:p w14:paraId="2053420A" w14:textId="77777777" w:rsidR="00707657" w:rsidRDefault="00707657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</w:pPr>
    <w:r>
      <w:rPr>
        <w:rFonts w:ascii="Century Gothic" w:hAnsi="Century Gothic" w:cs="Century Gothic"/>
        <w:sz w:val="17"/>
        <w:szCs w:val="17"/>
      </w:rPr>
      <w:t>Tel. 045/812 1293 - 045/812 2206 - C.F. e P.IVA 03901420236</w:t>
    </w:r>
  </w:p>
  <w:p w14:paraId="3519301B" w14:textId="77777777" w:rsidR="00707657" w:rsidRDefault="00013BD4">
    <w:pPr>
      <w:pStyle w:val="Pidipagina"/>
      <w:pBdr>
        <w:top w:val="single" w:sz="4" w:space="1" w:color="000000"/>
        <w:left w:val="none" w:sz="0" w:space="0" w:color="000000"/>
        <w:bottom w:val="single" w:sz="4" w:space="1" w:color="000000"/>
        <w:right w:val="none" w:sz="0" w:space="0" w:color="000000"/>
      </w:pBdr>
      <w:tabs>
        <w:tab w:val="clear" w:pos="4819"/>
        <w:tab w:val="clear" w:pos="9638"/>
      </w:tabs>
      <w:jc w:val="center"/>
      <w:rPr>
        <w:sz w:val="16"/>
        <w:szCs w:val="16"/>
      </w:rPr>
    </w:pPr>
    <w:hyperlink r:id="rId1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www.aovr.veneto.it</w:t>
      </w:r>
    </w:hyperlink>
    <w:r w:rsidR="00707657">
      <w:rPr>
        <w:rFonts w:ascii="Century Gothic" w:hAnsi="Century Gothic" w:cs="Century Gothic"/>
        <w:sz w:val="17"/>
        <w:szCs w:val="17"/>
      </w:rPr>
      <w:t xml:space="preserve">  -  e-mail: </w:t>
    </w:r>
    <w:hyperlink r:id="rId2" w:history="1">
      <w:r w:rsidR="00707657">
        <w:rPr>
          <w:rStyle w:val="Collegamentoipertestuale"/>
          <w:rFonts w:ascii="Century Gothic" w:hAnsi="Century Gothic" w:cs="Century Gothic"/>
          <w:sz w:val="17"/>
          <w:szCs w:val="17"/>
        </w:rPr>
        <w:t>ufficio.stampa@aovr.veneto.it</w:t>
      </w:r>
    </w:hyperlink>
  </w:p>
  <w:p w14:paraId="225757AC" w14:textId="01A34977" w:rsidR="00707657" w:rsidRDefault="00707657">
    <w:pPr>
      <w:pStyle w:val="Pidipagina"/>
      <w:tabs>
        <w:tab w:val="clear" w:pos="4819"/>
        <w:tab w:val="clear" w:pos="9638"/>
      </w:tabs>
      <w:spacing w:before="40" w:line="260" w:lineRule="exact"/>
      <w:jc w:val="center"/>
    </w:pPr>
    <w:r>
      <w:rPr>
        <w:sz w:val="16"/>
        <w:szCs w:val="16"/>
      </w:rPr>
      <w:t xml:space="preserve">- </w:t>
    </w:r>
    <w:r>
      <w:rPr>
        <w:rStyle w:val="Numeropagina"/>
        <w:sz w:val="16"/>
        <w:szCs w:val="16"/>
      </w:rPr>
      <w:fldChar w:fldCharType="begin"/>
    </w:r>
    <w:r>
      <w:rPr>
        <w:rStyle w:val="Numeropagina"/>
        <w:sz w:val="16"/>
        <w:szCs w:val="16"/>
      </w:rPr>
      <w:instrText xml:space="preserve"> PAGE </w:instrText>
    </w:r>
    <w:r>
      <w:rPr>
        <w:rStyle w:val="Numeropagina"/>
        <w:sz w:val="16"/>
        <w:szCs w:val="16"/>
      </w:rPr>
      <w:fldChar w:fldCharType="separate"/>
    </w:r>
    <w:r w:rsidR="00230550">
      <w:rPr>
        <w:rStyle w:val="Numeropagina"/>
        <w:noProof/>
        <w:sz w:val="16"/>
        <w:szCs w:val="16"/>
      </w:rPr>
      <w:t>2</w:t>
    </w:r>
    <w:r>
      <w:rPr>
        <w:rStyle w:val="Numeropagina"/>
        <w:sz w:val="16"/>
        <w:szCs w:val="16"/>
      </w:rPr>
      <w:fldChar w:fldCharType="end"/>
    </w:r>
    <w:r>
      <w:rPr>
        <w:rStyle w:val="Numeropagina"/>
        <w:sz w:val="16"/>
        <w:szCs w:val="16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F62A7F" w14:textId="77777777" w:rsidR="00013BD4" w:rsidRDefault="00013BD4">
      <w:r>
        <w:separator/>
      </w:r>
    </w:p>
  </w:footnote>
  <w:footnote w:type="continuationSeparator" w:id="0">
    <w:p w14:paraId="2F80FC99" w14:textId="77777777" w:rsidR="00013BD4" w:rsidRDefault="00013B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72F19C" w14:textId="34309879" w:rsidR="00BA5023" w:rsidRDefault="00BA5023" w:rsidP="00BA5023">
    <w:pPr>
      <w:pStyle w:val="Intestazione"/>
      <w:tabs>
        <w:tab w:val="clear" w:pos="4819"/>
        <w:tab w:val="clear" w:pos="9638"/>
      </w:tabs>
      <w:spacing w:before="40"/>
      <w:jc w:val="center"/>
    </w:pPr>
    <w:r>
      <w:rPr>
        <w:noProof/>
        <w:lang w:eastAsia="it-IT"/>
      </w:rPr>
      <w:drawing>
        <wp:anchor distT="0" distB="0" distL="114935" distR="114935" simplePos="0" relativeHeight="251660288" behindDoc="0" locked="0" layoutInCell="1" allowOverlap="1" wp14:anchorId="7540E142" wp14:editId="6FBED2CB">
          <wp:simplePos x="0" y="0"/>
          <wp:positionH relativeFrom="column">
            <wp:posOffset>229870</wp:posOffset>
          </wp:positionH>
          <wp:positionV relativeFrom="paragraph">
            <wp:posOffset>-12517</wp:posOffset>
          </wp:positionV>
          <wp:extent cx="629920" cy="608782"/>
          <wp:effectExtent l="0" t="0" r="5080" b="1270"/>
          <wp:wrapNone/>
          <wp:docPr id="1" name="Oggetto 1" descr="Logo Ospedale Santa Casa di Misericordia in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ggetto 1" descr="Logo Ospedale Santa Casa di Misericordia in Verona"/>
                  <pic:cNvPicPr>
                    <a:picLocks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59" t="-29" r="-26" b="7470"/>
                  <a:stretch>
                    <a:fillRect/>
                  </a:stretch>
                </pic:blipFill>
                <pic:spPr bwMode="auto">
                  <a:xfrm>
                    <a:off x="0" y="0"/>
                    <a:ext cx="632507" cy="611282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it-IT"/>
      </w:rPr>
      <w:drawing>
        <wp:anchor distT="0" distB="0" distL="114935" distR="114935" simplePos="0" relativeHeight="251659264" behindDoc="0" locked="0" layoutInCell="1" allowOverlap="1" wp14:anchorId="50383CAB" wp14:editId="15CF4DF9">
          <wp:simplePos x="0" y="0"/>
          <wp:positionH relativeFrom="column">
            <wp:posOffset>5384800</wp:posOffset>
          </wp:positionH>
          <wp:positionV relativeFrom="paragraph">
            <wp:posOffset>-8255</wp:posOffset>
          </wp:positionV>
          <wp:extent cx="574675" cy="574675"/>
          <wp:effectExtent l="0" t="0" r="0" b="0"/>
          <wp:wrapNone/>
          <wp:docPr id="2" name="Immagine 1" descr="Logo Università degli Studi di Veron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1" descr="Logo Università degli Studi di Verona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" t="-11" r="-11" b="-11"/>
                  <a:stretch>
                    <a:fillRect/>
                  </a:stretch>
                </pic:blipFill>
                <pic:spPr bwMode="auto">
                  <a:xfrm>
                    <a:off x="0" y="0"/>
                    <a:ext cx="574675" cy="5746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6"/>
        <w:szCs w:val="26"/>
      </w:rPr>
      <w:t>AZIENDA OSPEDALIERA UNIVERSITARIA INTEGRATA</w:t>
    </w:r>
  </w:p>
  <w:p w14:paraId="07ABD8D3" w14:textId="7734EBE9" w:rsidR="00BA5023" w:rsidRDefault="00BA5023" w:rsidP="00BA5023">
    <w:pPr>
      <w:pStyle w:val="Intestazione"/>
      <w:tabs>
        <w:tab w:val="clear" w:pos="4819"/>
        <w:tab w:val="clear" w:pos="9638"/>
      </w:tabs>
      <w:spacing w:before="20" w:after="40"/>
      <w:jc w:val="center"/>
    </w:pPr>
    <w:r>
      <w:rPr>
        <w:sz w:val="26"/>
        <w:szCs w:val="26"/>
      </w:rPr>
      <w:t>VERONA</w:t>
    </w:r>
  </w:p>
  <w:p w14:paraId="66A9C063" w14:textId="037D80D1" w:rsidR="00BA5023" w:rsidRDefault="00BA5023" w:rsidP="00BA5023">
    <w:pPr>
      <w:pStyle w:val="Intestazione"/>
      <w:tabs>
        <w:tab w:val="clear" w:pos="4819"/>
        <w:tab w:val="clear" w:pos="9638"/>
      </w:tabs>
      <w:spacing w:before="40" w:after="40"/>
      <w:jc w:val="center"/>
    </w:pPr>
    <w:r>
      <w:t>(D.</w:t>
    </w:r>
    <w:r w:rsidR="00E32BA5">
      <w:t xml:space="preserve"> </w:t>
    </w:r>
    <w:r>
      <w:t>Lgs. n. 517/1999 - Art. 3 L.R. Veneto n. 18/2009)</w:t>
    </w:r>
  </w:p>
  <w:tbl>
    <w:tblPr>
      <w:tblW w:w="9778" w:type="dxa"/>
      <w:jc w:val="center"/>
      <w:tblLayout w:type="fixed"/>
      <w:tblLook w:val="0000" w:firstRow="0" w:lastRow="0" w:firstColumn="0" w:lastColumn="0" w:noHBand="0" w:noVBand="0"/>
    </w:tblPr>
    <w:tblGrid>
      <w:gridCol w:w="9778"/>
    </w:tblGrid>
    <w:tr w:rsidR="00BA5023" w14:paraId="3F3BD800" w14:textId="77777777" w:rsidTr="00131B5A">
      <w:trPr>
        <w:jc w:val="center"/>
      </w:trPr>
      <w:tc>
        <w:tcPr>
          <w:tcW w:w="9778" w:type="dxa"/>
          <w:tcBorders>
            <w:top w:val="single" w:sz="4" w:space="0" w:color="000000"/>
            <w:bottom w:val="single" w:sz="4" w:space="0" w:color="000000"/>
          </w:tcBorders>
        </w:tcPr>
        <w:p w14:paraId="1946767A" w14:textId="6BF3AB32" w:rsidR="00BA5023" w:rsidRDefault="00BA5023" w:rsidP="00BA5023">
          <w:pPr>
            <w:pStyle w:val="Intestazione"/>
            <w:tabs>
              <w:tab w:val="clear" w:pos="4819"/>
              <w:tab w:val="clear" w:pos="9638"/>
            </w:tabs>
            <w:spacing w:before="60" w:after="60"/>
            <w:jc w:val="center"/>
          </w:pPr>
          <w:r>
            <w:rPr>
              <w:rFonts w:ascii="Century Gothic" w:hAnsi="Century Gothic" w:cs="Century Gothic"/>
              <w:b/>
            </w:rPr>
            <w:t>Ufficio Comunicazione Esterna e Stampa</w:t>
          </w:r>
        </w:p>
      </w:tc>
    </w:tr>
  </w:tbl>
  <w:p w14:paraId="7B7F3CFA" w14:textId="77777777" w:rsidR="00E22C6C" w:rsidRPr="00713A61" w:rsidRDefault="00E22C6C" w:rsidP="00E22C6C">
    <w:pPr>
      <w:pStyle w:val="Intestazione"/>
      <w:tabs>
        <w:tab w:val="clear" w:pos="4819"/>
        <w:tab w:val="clear" w:pos="9638"/>
      </w:tabs>
      <w:spacing w:before="60" w:after="60"/>
      <w:rPr>
        <w:rFonts w:ascii="Century Gothic" w:hAnsi="Century Gothic" w:cs="Century Gothic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2AA"/>
    <w:multiLevelType w:val="hybridMultilevel"/>
    <w:tmpl w:val="2AFC66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3AF"/>
    <w:rsid w:val="00005E90"/>
    <w:rsid w:val="00013BD4"/>
    <w:rsid w:val="000168B2"/>
    <w:rsid w:val="00016F15"/>
    <w:rsid w:val="000337FB"/>
    <w:rsid w:val="000446CC"/>
    <w:rsid w:val="00044B43"/>
    <w:rsid w:val="00044DDB"/>
    <w:rsid w:val="00047F30"/>
    <w:rsid w:val="00052B8C"/>
    <w:rsid w:val="000660BF"/>
    <w:rsid w:val="00067F6E"/>
    <w:rsid w:val="00071B73"/>
    <w:rsid w:val="00076CA5"/>
    <w:rsid w:val="000819D0"/>
    <w:rsid w:val="000972EB"/>
    <w:rsid w:val="000A5B85"/>
    <w:rsid w:val="000B2E1D"/>
    <w:rsid w:val="000B2EB4"/>
    <w:rsid w:val="000D1844"/>
    <w:rsid w:val="000D19DE"/>
    <w:rsid w:val="000F4393"/>
    <w:rsid w:val="000F5FA6"/>
    <w:rsid w:val="000F75FE"/>
    <w:rsid w:val="001074C9"/>
    <w:rsid w:val="00107F96"/>
    <w:rsid w:val="001155FF"/>
    <w:rsid w:val="0012657B"/>
    <w:rsid w:val="00126DB0"/>
    <w:rsid w:val="00131701"/>
    <w:rsid w:val="00131B5A"/>
    <w:rsid w:val="00135077"/>
    <w:rsid w:val="00142FEC"/>
    <w:rsid w:val="00150CB8"/>
    <w:rsid w:val="001539EE"/>
    <w:rsid w:val="00154960"/>
    <w:rsid w:val="00156968"/>
    <w:rsid w:val="00163EF3"/>
    <w:rsid w:val="00171491"/>
    <w:rsid w:val="00175E76"/>
    <w:rsid w:val="00186FDF"/>
    <w:rsid w:val="00195263"/>
    <w:rsid w:val="001A34F6"/>
    <w:rsid w:val="001A7856"/>
    <w:rsid w:val="001B222B"/>
    <w:rsid w:val="001B3A4C"/>
    <w:rsid w:val="001C0E3D"/>
    <w:rsid w:val="001C1E8B"/>
    <w:rsid w:val="001C4E07"/>
    <w:rsid w:val="001C602D"/>
    <w:rsid w:val="001D6619"/>
    <w:rsid w:val="001E6C09"/>
    <w:rsid w:val="001E6E94"/>
    <w:rsid w:val="002035AF"/>
    <w:rsid w:val="00211E79"/>
    <w:rsid w:val="0021265E"/>
    <w:rsid w:val="00220E80"/>
    <w:rsid w:val="00230550"/>
    <w:rsid w:val="00232800"/>
    <w:rsid w:val="002429E5"/>
    <w:rsid w:val="00251022"/>
    <w:rsid w:val="002525C2"/>
    <w:rsid w:val="00256D92"/>
    <w:rsid w:val="0026507D"/>
    <w:rsid w:val="002657E0"/>
    <w:rsid w:val="00272800"/>
    <w:rsid w:val="00281D76"/>
    <w:rsid w:val="00291148"/>
    <w:rsid w:val="002955DF"/>
    <w:rsid w:val="002A6D44"/>
    <w:rsid w:val="002A76EF"/>
    <w:rsid w:val="002B0FD3"/>
    <w:rsid w:val="002B5517"/>
    <w:rsid w:val="002C439C"/>
    <w:rsid w:val="002C531E"/>
    <w:rsid w:val="002D1BC7"/>
    <w:rsid w:val="002D2C9D"/>
    <w:rsid w:val="002D5DFA"/>
    <w:rsid w:val="002E03E2"/>
    <w:rsid w:val="002E09BB"/>
    <w:rsid w:val="002E309A"/>
    <w:rsid w:val="00300BA8"/>
    <w:rsid w:val="00304E1B"/>
    <w:rsid w:val="00322772"/>
    <w:rsid w:val="00326A41"/>
    <w:rsid w:val="00330B0F"/>
    <w:rsid w:val="00334395"/>
    <w:rsid w:val="00334DBD"/>
    <w:rsid w:val="0034525B"/>
    <w:rsid w:val="003578DD"/>
    <w:rsid w:val="00364CE1"/>
    <w:rsid w:val="003656B7"/>
    <w:rsid w:val="0036769C"/>
    <w:rsid w:val="00380F37"/>
    <w:rsid w:val="00385F98"/>
    <w:rsid w:val="003878DA"/>
    <w:rsid w:val="00387F33"/>
    <w:rsid w:val="0039096F"/>
    <w:rsid w:val="00391F75"/>
    <w:rsid w:val="003949E3"/>
    <w:rsid w:val="003A03EE"/>
    <w:rsid w:val="003A0AA8"/>
    <w:rsid w:val="003A357D"/>
    <w:rsid w:val="003B17E5"/>
    <w:rsid w:val="003C5DF5"/>
    <w:rsid w:val="003C7B4E"/>
    <w:rsid w:val="003D19E7"/>
    <w:rsid w:val="003E7C18"/>
    <w:rsid w:val="003E7CD4"/>
    <w:rsid w:val="003F4AC0"/>
    <w:rsid w:val="003F7BAD"/>
    <w:rsid w:val="00403BFE"/>
    <w:rsid w:val="0040C745"/>
    <w:rsid w:val="00411640"/>
    <w:rsid w:val="004258AA"/>
    <w:rsid w:val="00426A95"/>
    <w:rsid w:val="004339E2"/>
    <w:rsid w:val="00434B3E"/>
    <w:rsid w:val="00435984"/>
    <w:rsid w:val="00435D36"/>
    <w:rsid w:val="004444B6"/>
    <w:rsid w:val="004477FF"/>
    <w:rsid w:val="00447C91"/>
    <w:rsid w:val="0045330F"/>
    <w:rsid w:val="004607E9"/>
    <w:rsid w:val="004642C6"/>
    <w:rsid w:val="00467D83"/>
    <w:rsid w:val="00471005"/>
    <w:rsid w:val="0047167A"/>
    <w:rsid w:val="00472792"/>
    <w:rsid w:val="00472A5B"/>
    <w:rsid w:val="00473C29"/>
    <w:rsid w:val="00476FB4"/>
    <w:rsid w:val="00492133"/>
    <w:rsid w:val="00495F87"/>
    <w:rsid w:val="004962E5"/>
    <w:rsid w:val="004C3357"/>
    <w:rsid w:val="004E54B1"/>
    <w:rsid w:val="004F54EB"/>
    <w:rsid w:val="00500082"/>
    <w:rsid w:val="005014B8"/>
    <w:rsid w:val="00510E3E"/>
    <w:rsid w:val="0051496B"/>
    <w:rsid w:val="0052520E"/>
    <w:rsid w:val="00535E97"/>
    <w:rsid w:val="00541E00"/>
    <w:rsid w:val="00542020"/>
    <w:rsid w:val="00553B6F"/>
    <w:rsid w:val="005557B7"/>
    <w:rsid w:val="00556ED6"/>
    <w:rsid w:val="00561232"/>
    <w:rsid w:val="00566947"/>
    <w:rsid w:val="0057595C"/>
    <w:rsid w:val="005778AA"/>
    <w:rsid w:val="00590417"/>
    <w:rsid w:val="00595025"/>
    <w:rsid w:val="005A08CF"/>
    <w:rsid w:val="005A1D34"/>
    <w:rsid w:val="005C25DD"/>
    <w:rsid w:val="005C6023"/>
    <w:rsid w:val="005E3FFF"/>
    <w:rsid w:val="005E4D16"/>
    <w:rsid w:val="005F3128"/>
    <w:rsid w:val="005F5F0F"/>
    <w:rsid w:val="0060241B"/>
    <w:rsid w:val="00603F95"/>
    <w:rsid w:val="00606DC7"/>
    <w:rsid w:val="00612389"/>
    <w:rsid w:val="0061584F"/>
    <w:rsid w:val="00620404"/>
    <w:rsid w:val="006213F7"/>
    <w:rsid w:val="00626CD5"/>
    <w:rsid w:val="006270B3"/>
    <w:rsid w:val="006271B4"/>
    <w:rsid w:val="00644AEC"/>
    <w:rsid w:val="006467E4"/>
    <w:rsid w:val="00650510"/>
    <w:rsid w:val="00655D4D"/>
    <w:rsid w:val="00661363"/>
    <w:rsid w:val="00665EC3"/>
    <w:rsid w:val="00667F8F"/>
    <w:rsid w:val="00672293"/>
    <w:rsid w:val="00674BC5"/>
    <w:rsid w:val="006837B6"/>
    <w:rsid w:val="00694E7C"/>
    <w:rsid w:val="00696005"/>
    <w:rsid w:val="006A0F88"/>
    <w:rsid w:val="006A21A2"/>
    <w:rsid w:val="006B16A8"/>
    <w:rsid w:val="006B1D75"/>
    <w:rsid w:val="006B1F1C"/>
    <w:rsid w:val="006B3F2B"/>
    <w:rsid w:val="006B483F"/>
    <w:rsid w:val="006B63A7"/>
    <w:rsid w:val="006C191D"/>
    <w:rsid w:val="006C3A76"/>
    <w:rsid w:val="006C5801"/>
    <w:rsid w:val="006C5A3D"/>
    <w:rsid w:val="006D0750"/>
    <w:rsid w:val="006D7F31"/>
    <w:rsid w:val="006E2173"/>
    <w:rsid w:val="006E79A6"/>
    <w:rsid w:val="006F297B"/>
    <w:rsid w:val="006F493E"/>
    <w:rsid w:val="00700B07"/>
    <w:rsid w:val="0070190E"/>
    <w:rsid w:val="00701E98"/>
    <w:rsid w:val="0070381B"/>
    <w:rsid w:val="00703D50"/>
    <w:rsid w:val="00707657"/>
    <w:rsid w:val="007131A7"/>
    <w:rsid w:val="00713A61"/>
    <w:rsid w:val="00713DD1"/>
    <w:rsid w:val="00722B4D"/>
    <w:rsid w:val="00726A76"/>
    <w:rsid w:val="007316D7"/>
    <w:rsid w:val="00731C76"/>
    <w:rsid w:val="00732B7F"/>
    <w:rsid w:val="00734DF2"/>
    <w:rsid w:val="00736EE7"/>
    <w:rsid w:val="00741D85"/>
    <w:rsid w:val="00743288"/>
    <w:rsid w:val="00744627"/>
    <w:rsid w:val="00753B34"/>
    <w:rsid w:val="00763FCC"/>
    <w:rsid w:val="00776148"/>
    <w:rsid w:val="00783AB7"/>
    <w:rsid w:val="007A2E1C"/>
    <w:rsid w:val="007B0A79"/>
    <w:rsid w:val="007B4F28"/>
    <w:rsid w:val="007B545E"/>
    <w:rsid w:val="007D1651"/>
    <w:rsid w:val="007D1C63"/>
    <w:rsid w:val="007D2F89"/>
    <w:rsid w:val="007D4E55"/>
    <w:rsid w:val="007E1D87"/>
    <w:rsid w:val="007E342D"/>
    <w:rsid w:val="007E5444"/>
    <w:rsid w:val="007F318B"/>
    <w:rsid w:val="007F6F78"/>
    <w:rsid w:val="007F70C6"/>
    <w:rsid w:val="0080618A"/>
    <w:rsid w:val="00811322"/>
    <w:rsid w:val="0081167A"/>
    <w:rsid w:val="00816DE9"/>
    <w:rsid w:val="00821C9B"/>
    <w:rsid w:val="0082737E"/>
    <w:rsid w:val="00830092"/>
    <w:rsid w:val="00832A0A"/>
    <w:rsid w:val="008333A8"/>
    <w:rsid w:val="00840A2E"/>
    <w:rsid w:val="008430AC"/>
    <w:rsid w:val="00843F71"/>
    <w:rsid w:val="00844796"/>
    <w:rsid w:val="008521E4"/>
    <w:rsid w:val="00857602"/>
    <w:rsid w:val="00861987"/>
    <w:rsid w:val="0086411B"/>
    <w:rsid w:val="00864AF0"/>
    <w:rsid w:val="00875E36"/>
    <w:rsid w:val="008806E4"/>
    <w:rsid w:val="00880F98"/>
    <w:rsid w:val="00883AA0"/>
    <w:rsid w:val="00894F8F"/>
    <w:rsid w:val="00896BFB"/>
    <w:rsid w:val="008A1F74"/>
    <w:rsid w:val="008B3D18"/>
    <w:rsid w:val="008C5476"/>
    <w:rsid w:val="008D1E1E"/>
    <w:rsid w:val="008F0A38"/>
    <w:rsid w:val="008F0A83"/>
    <w:rsid w:val="008F1BE5"/>
    <w:rsid w:val="008F3850"/>
    <w:rsid w:val="008F5CE8"/>
    <w:rsid w:val="008F62E9"/>
    <w:rsid w:val="00904ED4"/>
    <w:rsid w:val="00910F3B"/>
    <w:rsid w:val="009119B9"/>
    <w:rsid w:val="00914144"/>
    <w:rsid w:val="009160E3"/>
    <w:rsid w:val="00917B21"/>
    <w:rsid w:val="00917CA3"/>
    <w:rsid w:val="00922B6E"/>
    <w:rsid w:val="00925F41"/>
    <w:rsid w:val="00931781"/>
    <w:rsid w:val="00935648"/>
    <w:rsid w:val="00941567"/>
    <w:rsid w:val="00945CFD"/>
    <w:rsid w:val="009521EE"/>
    <w:rsid w:val="00954825"/>
    <w:rsid w:val="009575E1"/>
    <w:rsid w:val="0096197D"/>
    <w:rsid w:val="00974189"/>
    <w:rsid w:val="009776B7"/>
    <w:rsid w:val="009824CE"/>
    <w:rsid w:val="00982744"/>
    <w:rsid w:val="009A1E67"/>
    <w:rsid w:val="009A65F4"/>
    <w:rsid w:val="009B19B7"/>
    <w:rsid w:val="009B484E"/>
    <w:rsid w:val="009B4944"/>
    <w:rsid w:val="009B6A29"/>
    <w:rsid w:val="009C4547"/>
    <w:rsid w:val="009C55E6"/>
    <w:rsid w:val="009D099A"/>
    <w:rsid w:val="009D64F6"/>
    <w:rsid w:val="009D703D"/>
    <w:rsid w:val="009E6E09"/>
    <w:rsid w:val="009E7E75"/>
    <w:rsid w:val="009F1CD4"/>
    <w:rsid w:val="009F4E72"/>
    <w:rsid w:val="00A029FE"/>
    <w:rsid w:val="00A03439"/>
    <w:rsid w:val="00A03AFD"/>
    <w:rsid w:val="00A16781"/>
    <w:rsid w:val="00A26749"/>
    <w:rsid w:val="00A3288F"/>
    <w:rsid w:val="00A345D2"/>
    <w:rsid w:val="00A45471"/>
    <w:rsid w:val="00A472C6"/>
    <w:rsid w:val="00A5491E"/>
    <w:rsid w:val="00A6565B"/>
    <w:rsid w:val="00A6626D"/>
    <w:rsid w:val="00A6664E"/>
    <w:rsid w:val="00A66BC4"/>
    <w:rsid w:val="00A71D21"/>
    <w:rsid w:val="00A72ED0"/>
    <w:rsid w:val="00A817B3"/>
    <w:rsid w:val="00AA5E4C"/>
    <w:rsid w:val="00AB1382"/>
    <w:rsid w:val="00AB3C51"/>
    <w:rsid w:val="00AC1A26"/>
    <w:rsid w:val="00AC21DD"/>
    <w:rsid w:val="00AC7CB2"/>
    <w:rsid w:val="00AD06B0"/>
    <w:rsid w:val="00AD0FCD"/>
    <w:rsid w:val="00AE0406"/>
    <w:rsid w:val="00AE216D"/>
    <w:rsid w:val="00AE7CD4"/>
    <w:rsid w:val="00AF32CF"/>
    <w:rsid w:val="00B13046"/>
    <w:rsid w:val="00B14F5A"/>
    <w:rsid w:val="00B15A3D"/>
    <w:rsid w:val="00B20C9A"/>
    <w:rsid w:val="00B2468F"/>
    <w:rsid w:val="00B30658"/>
    <w:rsid w:val="00B31A7C"/>
    <w:rsid w:val="00B6215F"/>
    <w:rsid w:val="00B6242F"/>
    <w:rsid w:val="00B64EE7"/>
    <w:rsid w:val="00B66F65"/>
    <w:rsid w:val="00B73BCF"/>
    <w:rsid w:val="00B8523C"/>
    <w:rsid w:val="00B85C8C"/>
    <w:rsid w:val="00B901A1"/>
    <w:rsid w:val="00B912CA"/>
    <w:rsid w:val="00B949FB"/>
    <w:rsid w:val="00BA5023"/>
    <w:rsid w:val="00BA71D6"/>
    <w:rsid w:val="00BB6917"/>
    <w:rsid w:val="00BC0081"/>
    <w:rsid w:val="00BC4B05"/>
    <w:rsid w:val="00BC550C"/>
    <w:rsid w:val="00BC6A91"/>
    <w:rsid w:val="00BC76ED"/>
    <w:rsid w:val="00BD2A6E"/>
    <w:rsid w:val="00BE0706"/>
    <w:rsid w:val="00BE178C"/>
    <w:rsid w:val="00BE2B97"/>
    <w:rsid w:val="00BE58AE"/>
    <w:rsid w:val="00BE6B57"/>
    <w:rsid w:val="00BF0FF9"/>
    <w:rsid w:val="00BF2B6C"/>
    <w:rsid w:val="00C05A0C"/>
    <w:rsid w:val="00C22A90"/>
    <w:rsid w:val="00C349CD"/>
    <w:rsid w:val="00C43D27"/>
    <w:rsid w:val="00C61612"/>
    <w:rsid w:val="00C81136"/>
    <w:rsid w:val="00C817A9"/>
    <w:rsid w:val="00C92FC6"/>
    <w:rsid w:val="00C930D5"/>
    <w:rsid w:val="00CA31E8"/>
    <w:rsid w:val="00CA6F49"/>
    <w:rsid w:val="00CC09D0"/>
    <w:rsid w:val="00CF1EB2"/>
    <w:rsid w:val="00CF41B1"/>
    <w:rsid w:val="00CF67E4"/>
    <w:rsid w:val="00D02802"/>
    <w:rsid w:val="00D049C0"/>
    <w:rsid w:val="00D05C74"/>
    <w:rsid w:val="00D12011"/>
    <w:rsid w:val="00D15BB2"/>
    <w:rsid w:val="00D23B55"/>
    <w:rsid w:val="00D27D2B"/>
    <w:rsid w:val="00D46C30"/>
    <w:rsid w:val="00D47BC5"/>
    <w:rsid w:val="00D75A84"/>
    <w:rsid w:val="00D817E7"/>
    <w:rsid w:val="00D84103"/>
    <w:rsid w:val="00D86E7E"/>
    <w:rsid w:val="00D90207"/>
    <w:rsid w:val="00D9214F"/>
    <w:rsid w:val="00D935EF"/>
    <w:rsid w:val="00DC449B"/>
    <w:rsid w:val="00DC5946"/>
    <w:rsid w:val="00DC7DC5"/>
    <w:rsid w:val="00DD4224"/>
    <w:rsid w:val="00DD63AF"/>
    <w:rsid w:val="00DD739D"/>
    <w:rsid w:val="00DE14DF"/>
    <w:rsid w:val="00DE70E0"/>
    <w:rsid w:val="00E02815"/>
    <w:rsid w:val="00E03611"/>
    <w:rsid w:val="00E1135B"/>
    <w:rsid w:val="00E12EBE"/>
    <w:rsid w:val="00E12ECD"/>
    <w:rsid w:val="00E22C6C"/>
    <w:rsid w:val="00E24D52"/>
    <w:rsid w:val="00E254A1"/>
    <w:rsid w:val="00E25CB6"/>
    <w:rsid w:val="00E307A7"/>
    <w:rsid w:val="00E32BA5"/>
    <w:rsid w:val="00E40A0C"/>
    <w:rsid w:val="00E45F1F"/>
    <w:rsid w:val="00E51078"/>
    <w:rsid w:val="00E53464"/>
    <w:rsid w:val="00E54BD9"/>
    <w:rsid w:val="00E57256"/>
    <w:rsid w:val="00E7016A"/>
    <w:rsid w:val="00E713AE"/>
    <w:rsid w:val="00E72687"/>
    <w:rsid w:val="00E80FB8"/>
    <w:rsid w:val="00E823EC"/>
    <w:rsid w:val="00E84420"/>
    <w:rsid w:val="00E96F6B"/>
    <w:rsid w:val="00EA014D"/>
    <w:rsid w:val="00EA34CA"/>
    <w:rsid w:val="00EA36AA"/>
    <w:rsid w:val="00EB2F96"/>
    <w:rsid w:val="00EC69E8"/>
    <w:rsid w:val="00EC72B1"/>
    <w:rsid w:val="00EC7F78"/>
    <w:rsid w:val="00EE7A9F"/>
    <w:rsid w:val="00EF5441"/>
    <w:rsid w:val="00F00774"/>
    <w:rsid w:val="00F16446"/>
    <w:rsid w:val="00F259C9"/>
    <w:rsid w:val="00F30597"/>
    <w:rsid w:val="00F3661F"/>
    <w:rsid w:val="00F3670F"/>
    <w:rsid w:val="00F4463F"/>
    <w:rsid w:val="00F54E47"/>
    <w:rsid w:val="00F55326"/>
    <w:rsid w:val="00F750B0"/>
    <w:rsid w:val="00F75ED1"/>
    <w:rsid w:val="00F80C10"/>
    <w:rsid w:val="00F810D1"/>
    <w:rsid w:val="00F92889"/>
    <w:rsid w:val="00F93BF3"/>
    <w:rsid w:val="00F94114"/>
    <w:rsid w:val="00FA0225"/>
    <w:rsid w:val="00FA322B"/>
    <w:rsid w:val="00FA530D"/>
    <w:rsid w:val="00FB6122"/>
    <w:rsid w:val="00FC27A8"/>
    <w:rsid w:val="00FC438A"/>
    <w:rsid w:val="02B28DF5"/>
    <w:rsid w:val="093DCC20"/>
    <w:rsid w:val="0B39B5B1"/>
    <w:rsid w:val="0EDAED8E"/>
    <w:rsid w:val="1536E72C"/>
    <w:rsid w:val="16E59D17"/>
    <w:rsid w:val="187EC44B"/>
    <w:rsid w:val="20B8A06C"/>
    <w:rsid w:val="2F69EF00"/>
    <w:rsid w:val="405D3C1C"/>
    <w:rsid w:val="419F9C76"/>
    <w:rsid w:val="41A9B05A"/>
    <w:rsid w:val="4443B7DC"/>
    <w:rsid w:val="459AD589"/>
    <w:rsid w:val="4FA51FD4"/>
    <w:rsid w:val="53651B4F"/>
    <w:rsid w:val="54978013"/>
    <w:rsid w:val="5A90F058"/>
    <w:rsid w:val="5EFFE1B5"/>
    <w:rsid w:val="5F666C95"/>
    <w:rsid w:val="627544E7"/>
    <w:rsid w:val="634002D9"/>
    <w:rsid w:val="684098B3"/>
    <w:rsid w:val="69052AB7"/>
    <w:rsid w:val="6CCE7B89"/>
    <w:rsid w:val="6E37F786"/>
    <w:rsid w:val="6F136A4C"/>
    <w:rsid w:val="70ED20ED"/>
    <w:rsid w:val="7F0A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C93A3D4"/>
  <w15:chartTrackingRefBased/>
  <w15:docId w15:val="{5708FD95-4067-D645-9383-81198AA5C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</w:pPr>
    <w:rPr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1"/>
  </w:style>
  <w:style w:type="character" w:customStyle="1" w:styleId="Menzionenonrisolta1">
    <w:name w:val="Menzione non risolta1"/>
    <w:rPr>
      <w:color w:val="605E5C"/>
      <w:shd w:val="clear" w:color="auto" w:fill="E1DFDD"/>
    </w:rPr>
  </w:style>
  <w:style w:type="character" w:customStyle="1" w:styleId="TitoloCarattere">
    <w:name w:val="Titolo Carattere"/>
    <w:rPr>
      <w:rFonts w:ascii="Calibri Light" w:eastAsia="Times New Roman" w:hAnsi="Calibri Light" w:cs="Times New Roman"/>
      <w:b/>
      <w:bCs/>
      <w:kern w:val="2"/>
      <w:sz w:val="32"/>
      <w:szCs w:val="32"/>
    </w:rPr>
  </w:style>
  <w:style w:type="character" w:customStyle="1" w:styleId="SottotitoloCarattere">
    <w:name w:val="Sottotitolo Carattere"/>
    <w:rPr>
      <w:rFonts w:ascii="Calibri Light" w:eastAsia="Times New Roman" w:hAnsi="Calibri Light" w:cs="Times New Roman"/>
      <w:sz w:val="24"/>
      <w:szCs w:val="24"/>
    </w:rPr>
  </w:style>
  <w:style w:type="character" w:styleId="Enfasigrassetto">
    <w:name w:val="Strong"/>
    <w:uiPriority w:val="22"/>
    <w:qFormat/>
    <w:rPr>
      <w:b/>
      <w:bCs/>
    </w:rPr>
  </w:style>
  <w:style w:type="paragraph" w:customStyle="1" w:styleId="Titolo1">
    <w:name w:val="Titolo1"/>
    <w:basedOn w:val="Normale"/>
    <w:next w:val="Normale"/>
    <w:pPr>
      <w:spacing w:before="240" w:after="60"/>
      <w:jc w:val="center"/>
    </w:pPr>
    <w:rPr>
      <w:rFonts w:ascii="Calibri Light" w:hAnsi="Calibri Light"/>
      <w:b/>
      <w:bCs/>
      <w:kern w:val="2"/>
      <w:sz w:val="32"/>
      <w:szCs w:val="32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pPr>
      <w:spacing w:after="120"/>
    </w:pPr>
    <w:rPr>
      <w:sz w:val="16"/>
      <w:szCs w:val="16"/>
    </w:rPr>
  </w:style>
  <w:style w:type="paragraph" w:styleId="NormaleWeb">
    <w:name w:val="Normal (Web)"/>
    <w:basedOn w:val="Normale"/>
    <w:pPr>
      <w:spacing w:before="100" w:after="100"/>
    </w:pPr>
    <w:rPr>
      <w:rFonts w:eastAsia="MS Mincho"/>
      <w:kern w:val="2"/>
      <w:sz w:val="24"/>
      <w:szCs w:val="24"/>
      <w:lang w:eastAsia="ja-JP"/>
    </w:rPr>
  </w:style>
  <w:style w:type="paragraph" w:styleId="Sottotitolo">
    <w:name w:val="Subtitle"/>
    <w:basedOn w:val="Normale"/>
    <w:next w:val="Normale"/>
    <w:qFormat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Contenutotabella">
    <w:name w:val="Contenuto tabella"/>
    <w:basedOn w:val="Normale"/>
    <w:pPr>
      <w:widowControl w:val="0"/>
      <w:suppressLineNumbers/>
    </w:pPr>
  </w:style>
  <w:style w:type="paragraph" w:customStyle="1" w:styleId="Titolotabella">
    <w:name w:val="Titolo tabella"/>
    <w:basedOn w:val="Contenutotabella"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387F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71491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7D4E55"/>
    <w:rPr>
      <w:color w:val="96607D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288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288F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0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73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97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6711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3701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689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885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98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0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89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84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8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1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04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55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4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04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7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33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90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72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37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9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73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6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4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1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8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19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8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3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51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79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70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ufficio.stampa@aovr.veneto.it" TargetMode="External"/><Relationship Id="rId1" Type="http://schemas.openxmlformats.org/officeDocument/2006/relationships/hyperlink" Target="http://www.aovr.veneto.it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35CA0-2DA1-4F04-8216-2FE10749CF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Azienda Ospedaliera Universitaria Integrata - Verona</dc:creator>
  <cp:keywords/>
  <cp:lastModifiedBy>MIRELLA GOBBI SPROCAGNOCCHI</cp:lastModifiedBy>
  <cp:revision>19</cp:revision>
  <cp:lastPrinted>2026-08-13T12:16:00Z</cp:lastPrinted>
  <dcterms:created xsi:type="dcterms:W3CDTF">2026-08-13T12:45:00Z</dcterms:created>
  <dcterms:modified xsi:type="dcterms:W3CDTF">2026-08-27T07:40:00Z</dcterms:modified>
</cp:coreProperties>
</file>