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8E99562" w14:textId="1D7BE6D6" w:rsidR="00D02802" w:rsidRPr="00D02802" w:rsidRDefault="00C26F2E" w:rsidP="00D02802">
      <w:pPr>
        <w:suppressAutoHyphens w:val="0"/>
        <w:spacing w:line="256" w:lineRule="auto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Giornata mondiale </w:t>
      </w:r>
      <w:r w:rsidR="00D02802" w:rsidRPr="00D02802">
        <w:rPr>
          <w:rFonts w:ascii="Century Gothic" w:hAnsi="Century Gothic"/>
          <w:b/>
          <w:bCs/>
          <w:kern w:val="2"/>
          <w:sz w:val="28"/>
          <w:szCs w:val="28"/>
        </w:rPr>
        <w:t xml:space="preserve">Celiachia: </w:t>
      </w:r>
      <w:r w:rsidR="00BE2971">
        <w:rPr>
          <w:rFonts w:ascii="Century Gothic" w:hAnsi="Century Gothic"/>
          <w:b/>
          <w:sz w:val="28"/>
          <w:szCs w:val="28"/>
        </w:rPr>
        <w:t>gli ambulatori dedicat</w:t>
      </w:r>
      <w:r w:rsidR="003616A9">
        <w:rPr>
          <w:rFonts w:ascii="Century Gothic" w:hAnsi="Century Gothic"/>
          <w:b/>
          <w:sz w:val="28"/>
          <w:szCs w:val="28"/>
        </w:rPr>
        <w:t>i in</w:t>
      </w:r>
      <w:r w:rsidR="00BE2971">
        <w:rPr>
          <w:rFonts w:ascii="Century Gothic" w:hAnsi="Century Gothic"/>
          <w:b/>
          <w:sz w:val="28"/>
          <w:szCs w:val="28"/>
        </w:rPr>
        <w:t xml:space="preserve"> </w:t>
      </w:r>
      <w:proofErr w:type="spellStart"/>
      <w:r w:rsidR="00BE2971">
        <w:rPr>
          <w:rFonts w:ascii="Century Gothic" w:hAnsi="Century Gothic"/>
          <w:b/>
          <w:sz w:val="28"/>
          <w:szCs w:val="28"/>
        </w:rPr>
        <w:t>Aoui</w:t>
      </w:r>
      <w:proofErr w:type="spellEnd"/>
    </w:p>
    <w:p w14:paraId="581E1246" w14:textId="77777777" w:rsidR="003616A9" w:rsidRDefault="003616A9" w:rsidP="00D02802">
      <w:pPr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6AF1D865" w14:textId="3E121E38" w:rsidR="000660BF" w:rsidRDefault="003616A9" w:rsidP="00D02802">
      <w:pPr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A Borgo Roma il </w:t>
      </w:r>
      <w:r w:rsidRPr="003616A9">
        <w:rPr>
          <w:rFonts w:ascii="Century Gothic" w:hAnsi="Century Gothic"/>
          <w:b/>
          <w:bCs/>
          <w:kern w:val="2"/>
          <w:sz w:val="28"/>
          <w:szCs w:val="28"/>
        </w:rPr>
        <w:t>Centro di riferimento regionale per la diagnosi e cura</w:t>
      </w:r>
    </w:p>
    <w:p w14:paraId="4106D47A" w14:textId="77777777" w:rsidR="003616A9" w:rsidRDefault="003616A9" w:rsidP="00B6215F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7A7B105F" w14:textId="034F81E2" w:rsidR="000660BF" w:rsidRPr="00D02802" w:rsidRDefault="003616A9" w:rsidP="00B6215F">
      <w:pPr>
        <w:jc w:val="center"/>
        <w:rPr>
          <w:b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C</w:t>
      </w:r>
      <w:r w:rsidR="00C26F2E">
        <w:rPr>
          <w:rFonts w:ascii="Century Gothic" w:hAnsi="Century Gothic"/>
          <w:b/>
          <w:bCs/>
          <w:kern w:val="2"/>
          <w:sz w:val="28"/>
          <w:szCs w:val="28"/>
        </w:rPr>
        <w:t>ompare a tutte le età</w:t>
      </w:r>
      <w:r w:rsidR="00BE2971">
        <w:rPr>
          <w:rFonts w:ascii="Century Gothic" w:hAnsi="Century Gothic"/>
          <w:b/>
          <w:bCs/>
          <w:kern w:val="2"/>
          <w:sz w:val="28"/>
          <w:szCs w:val="28"/>
        </w:rPr>
        <w:t xml:space="preserve">, presa in carico di pazienti </w:t>
      </w:r>
      <w:r w:rsidR="00C26F2E">
        <w:rPr>
          <w:rFonts w:ascii="Century Gothic" w:hAnsi="Century Gothic"/>
          <w:b/>
          <w:bCs/>
          <w:kern w:val="2"/>
          <w:sz w:val="28"/>
          <w:szCs w:val="28"/>
        </w:rPr>
        <w:t>pediatrici e adult</w:t>
      </w:r>
      <w:r w:rsidR="00BE2971">
        <w:rPr>
          <w:rFonts w:ascii="Century Gothic" w:hAnsi="Century Gothic"/>
          <w:b/>
          <w:bCs/>
          <w:kern w:val="2"/>
          <w:sz w:val="28"/>
          <w:szCs w:val="28"/>
        </w:rPr>
        <w:t>i</w:t>
      </w:r>
    </w:p>
    <w:p w14:paraId="63974203" w14:textId="77777777" w:rsidR="00E57256" w:rsidRPr="00D02802" w:rsidRDefault="00E57256" w:rsidP="00E57256">
      <w:pPr>
        <w:rPr>
          <w:b/>
        </w:rPr>
      </w:pPr>
    </w:p>
    <w:p w14:paraId="3CCC54B7" w14:textId="77777777" w:rsidR="00E57256" w:rsidRDefault="00E57256" w:rsidP="00E57256"/>
    <w:p w14:paraId="36082373" w14:textId="7B8970D1" w:rsidR="00541E00" w:rsidRDefault="00E57256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8C547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2A76EF" w:rsidRPr="005F454A">
        <w:rPr>
          <w:rFonts w:ascii="Century Gothic" w:hAnsi="Century Gothic" w:cs="Century Gothic"/>
          <w:kern w:val="2"/>
          <w:sz w:val="24"/>
          <w:szCs w:val="24"/>
        </w:rPr>
        <w:t>1</w:t>
      </w:r>
      <w:r w:rsidR="00D02802" w:rsidRPr="005F454A">
        <w:rPr>
          <w:rFonts w:ascii="Century Gothic" w:hAnsi="Century Gothic" w:cs="Century Gothic"/>
          <w:kern w:val="2"/>
          <w:sz w:val="24"/>
          <w:szCs w:val="24"/>
        </w:rPr>
        <w:t>6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 xml:space="preserve"> maggio 2026</w:t>
      </w:r>
    </w:p>
    <w:p w14:paraId="67D2A24D" w14:textId="77777777" w:rsidR="00883AA0" w:rsidRDefault="00883AA0" w:rsidP="00883AA0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49C0BF6C" w14:textId="6102A3D6" w:rsidR="004854A5" w:rsidRDefault="00BE2971" w:rsidP="00C26F2E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Era una malattia</w:t>
      </w:r>
      <w:r w:rsidR="00615B5C" w:rsidRPr="00615B5C">
        <w:rPr>
          <w:rFonts w:ascii="Century Gothic" w:hAnsi="Century Gothic"/>
          <w:sz w:val="24"/>
          <w:szCs w:val="24"/>
        </w:rPr>
        <w:t xml:space="preserve"> rara</w:t>
      </w:r>
      <w:r w:rsidR="00AB71C3">
        <w:rPr>
          <w:rFonts w:ascii="Century Gothic" w:hAnsi="Century Gothic"/>
          <w:sz w:val="24"/>
          <w:szCs w:val="24"/>
        </w:rPr>
        <w:t xml:space="preserve">, </w:t>
      </w:r>
      <w:r>
        <w:rPr>
          <w:rFonts w:ascii="Century Gothic" w:hAnsi="Century Gothic"/>
          <w:sz w:val="24"/>
          <w:szCs w:val="24"/>
        </w:rPr>
        <w:t xml:space="preserve">oggi invece c’è un progressivo aumento di diagnosi di </w:t>
      </w:r>
      <w:r w:rsidR="00615B5C" w:rsidRPr="00615B5C">
        <w:rPr>
          <w:rFonts w:ascii="Century Gothic" w:hAnsi="Century Gothic"/>
          <w:sz w:val="24"/>
          <w:szCs w:val="24"/>
        </w:rPr>
        <w:t>celiac</w:t>
      </w:r>
      <w:r>
        <w:rPr>
          <w:rFonts w:ascii="Century Gothic" w:hAnsi="Century Gothic"/>
          <w:sz w:val="24"/>
          <w:szCs w:val="24"/>
        </w:rPr>
        <w:t>hi</w:t>
      </w:r>
      <w:r w:rsidR="00615B5C" w:rsidRPr="00615B5C">
        <w:rPr>
          <w:rFonts w:ascii="Century Gothic" w:hAnsi="Century Gothic"/>
          <w:sz w:val="24"/>
          <w:szCs w:val="24"/>
        </w:rPr>
        <w:t xml:space="preserve">a </w:t>
      </w:r>
      <w:r w:rsidR="00AB71C3">
        <w:rPr>
          <w:rFonts w:ascii="Century Gothic" w:hAnsi="Century Gothic"/>
          <w:sz w:val="24"/>
          <w:szCs w:val="24"/>
        </w:rPr>
        <w:t xml:space="preserve">che </w:t>
      </w:r>
      <w:r w:rsidR="00615B5C" w:rsidRPr="00615B5C">
        <w:rPr>
          <w:rFonts w:ascii="Century Gothic" w:hAnsi="Century Gothic"/>
          <w:sz w:val="24"/>
          <w:szCs w:val="24"/>
        </w:rPr>
        <w:t xml:space="preserve">rappresenta </w:t>
      </w:r>
      <w:r w:rsidR="00AB71C3">
        <w:rPr>
          <w:rFonts w:ascii="Century Gothic" w:hAnsi="Century Gothic"/>
          <w:sz w:val="24"/>
          <w:szCs w:val="24"/>
        </w:rPr>
        <w:t>u</w:t>
      </w:r>
      <w:r w:rsidR="00615B5C" w:rsidRPr="00615B5C">
        <w:rPr>
          <w:rFonts w:ascii="Century Gothic" w:hAnsi="Century Gothic"/>
          <w:sz w:val="24"/>
          <w:szCs w:val="24"/>
        </w:rPr>
        <w:t>na delle cronic</w:t>
      </w:r>
      <w:r w:rsidR="00AB71C3">
        <w:rPr>
          <w:rFonts w:ascii="Century Gothic" w:hAnsi="Century Gothic"/>
          <w:sz w:val="24"/>
          <w:szCs w:val="24"/>
        </w:rPr>
        <w:t>ità</w:t>
      </w:r>
      <w:r w:rsidR="00615B5C" w:rsidRPr="00615B5C">
        <w:rPr>
          <w:rFonts w:ascii="Century Gothic" w:hAnsi="Century Gothic"/>
          <w:sz w:val="24"/>
          <w:szCs w:val="24"/>
        </w:rPr>
        <w:t xml:space="preserve"> più</w:t>
      </w:r>
      <w:r w:rsidR="00B132EB">
        <w:rPr>
          <w:rFonts w:ascii="Century Gothic" w:hAnsi="Century Gothic"/>
          <w:sz w:val="24"/>
          <w:szCs w:val="24"/>
        </w:rPr>
        <w:t xml:space="preserve"> diffuse e</w:t>
      </w:r>
      <w:r w:rsidR="00615B5C" w:rsidRPr="00615B5C">
        <w:rPr>
          <w:rFonts w:ascii="Century Gothic" w:hAnsi="Century Gothic"/>
          <w:sz w:val="24"/>
          <w:szCs w:val="24"/>
        </w:rPr>
        <w:t xml:space="preserve"> comun</w:t>
      </w:r>
      <w:r w:rsidR="00B132EB">
        <w:rPr>
          <w:rFonts w:ascii="Century Gothic" w:hAnsi="Century Gothic"/>
          <w:sz w:val="24"/>
          <w:szCs w:val="24"/>
        </w:rPr>
        <w:t>e</w:t>
      </w:r>
      <w:r w:rsidR="00AB71C3">
        <w:rPr>
          <w:rFonts w:ascii="Century Gothic" w:hAnsi="Century Gothic"/>
          <w:sz w:val="24"/>
          <w:szCs w:val="24"/>
        </w:rPr>
        <w:t xml:space="preserve"> a</w:t>
      </w:r>
      <w:r w:rsidR="00C26F2E">
        <w:rPr>
          <w:rFonts w:ascii="Century Gothic" w:hAnsi="Century Gothic"/>
          <w:sz w:val="24"/>
          <w:szCs w:val="24"/>
        </w:rPr>
        <w:t xml:space="preserve"> tutte le età</w:t>
      </w:r>
      <w:r w:rsidR="00673C6F">
        <w:rPr>
          <w:rFonts w:ascii="Century Gothic" w:hAnsi="Century Gothic"/>
          <w:sz w:val="24"/>
          <w:szCs w:val="24"/>
        </w:rPr>
        <w:t>.</w:t>
      </w:r>
      <w:r w:rsidR="005F454A">
        <w:rPr>
          <w:rFonts w:ascii="Century Gothic" w:hAnsi="Century Gothic"/>
          <w:sz w:val="24"/>
          <w:szCs w:val="24"/>
        </w:rPr>
        <w:t xml:space="preserve"> </w:t>
      </w:r>
      <w:r w:rsidR="00AB71C3">
        <w:rPr>
          <w:rFonts w:ascii="Century Gothic" w:hAnsi="Century Gothic"/>
          <w:sz w:val="24"/>
          <w:szCs w:val="24"/>
        </w:rPr>
        <w:t>Per questo in</w:t>
      </w:r>
      <w:r w:rsidR="00C26F2E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="00C26F2E">
        <w:rPr>
          <w:rFonts w:ascii="Century Gothic" w:hAnsi="Century Gothic"/>
          <w:sz w:val="24"/>
          <w:szCs w:val="24"/>
        </w:rPr>
        <w:t>Aoui</w:t>
      </w:r>
      <w:proofErr w:type="spellEnd"/>
      <w:r w:rsidR="00AB71C3">
        <w:rPr>
          <w:rFonts w:ascii="Century Gothic" w:hAnsi="Century Gothic"/>
          <w:sz w:val="24"/>
          <w:szCs w:val="24"/>
        </w:rPr>
        <w:t>,</w:t>
      </w:r>
      <w:r w:rsidR="00C26F2E">
        <w:rPr>
          <w:rFonts w:ascii="Century Gothic" w:hAnsi="Century Gothic"/>
          <w:sz w:val="24"/>
          <w:szCs w:val="24"/>
        </w:rPr>
        <w:t xml:space="preserve"> sono </w:t>
      </w:r>
      <w:r w:rsidR="00AB71C3">
        <w:rPr>
          <w:rFonts w:ascii="Century Gothic" w:hAnsi="Century Gothic"/>
          <w:sz w:val="24"/>
          <w:szCs w:val="24"/>
        </w:rPr>
        <w:t xml:space="preserve">molti gli specialisti che se ne occupano </w:t>
      </w:r>
      <w:r w:rsidR="004854A5">
        <w:rPr>
          <w:rFonts w:ascii="Century Gothic" w:hAnsi="Century Gothic"/>
          <w:sz w:val="24"/>
          <w:szCs w:val="24"/>
        </w:rPr>
        <w:t>con percorsi dedicati in</w:t>
      </w:r>
      <w:r w:rsidR="00C26F2E">
        <w:rPr>
          <w:rFonts w:ascii="Century Gothic" w:hAnsi="Century Gothic"/>
          <w:sz w:val="24"/>
          <w:szCs w:val="24"/>
        </w:rPr>
        <w:t xml:space="preserve"> ambulatori per pazienti adulti e pediatrici</w:t>
      </w:r>
      <w:r w:rsidR="004854A5">
        <w:rPr>
          <w:rFonts w:ascii="Century Gothic" w:hAnsi="Century Gothic"/>
          <w:sz w:val="24"/>
          <w:szCs w:val="24"/>
        </w:rPr>
        <w:t>.</w:t>
      </w:r>
      <w:r w:rsidR="00C26F2E">
        <w:rPr>
          <w:rFonts w:ascii="Century Gothic" w:hAnsi="Century Gothic"/>
          <w:sz w:val="24"/>
          <w:szCs w:val="24"/>
        </w:rPr>
        <w:t xml:space="preserve"> </w:t>
      </w:r>
    </w:p>
    <w:p w14:paraId="6E5799B9" w14:textId="72218965" w:rsidR="00C26F2E" w:rsidRDefault="00C26F2E" w:rsidP="00615B5C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74EA39D3" w14:textId="404801B4" w:rsidR="004854A5" w:rsidRDefault="004854A5" w:rsidP="00AB71C3">
      <w:pPr>
        <w:suppressAutoHyphens w:val="0"/>
        <w:spacing w:line="256" w:lineRule="auto"/>
        <w:jc w:val="both"/>
        <w:rPr>
          <w:rFonts w:ascii="Century Gothic" w:hAnsi="Century Gothic"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S</w:t>
      </w:r>
      <w:r w:rsidR="00AB71C3" w:rsidRPr="00AB71C3">
        <w:rPr>
          <w:rFonts w:ascii="Century Gothic" w:hAnsi="Century Gothic"/>
          <w:b/>
          <w:bCs/>
          <w:sz w:val="24"/>
          <w:szCs w:val="24"/>
        </w:rPr>
        <w:t>e ne occupano</w:t>
      </w:r>
      <w:r>
        <w:rPr>
          <w:rFonts w:ascii="Century Gothic" w:hAnsi="Century Gothic"/>
          <w:b/>
          <w:bCs/>
          <w:sz w:val="24"/>
          <w:szCs w:val="24"/>
        </w:rPr>
        <w:t xml:space="preserve"> 4 </w:t>
      </w:r>
      <w:proofErr w:type="spellStart"/>
      <w:r>
        <w:rPr>
          <w:rFonts w:ascii="Century Gothic" w:hAnsi="Century Gothic"/>
          <w:b/>
          <w:bCs/>
          <w:sz w:val="24"/>
          <w:szCs w:val="24"/>
        </w:rPr>
        <w:t>Uoc</w:t>
      </w:r>
      <w:proofErr w:type="spellEnd"/>
      <w:r w:rsidR="00AB71C3" w:rsidRPr="00AB71C3">
        <w:rPr>
          <w:rFonts w:ascii="Century Gothic" w:hAnsi="Century Gothic"/>
          <w:b/>
          <w:bCs/>
          <w:sz w:val="24"/>
          <w:szCs w:val="24"/>
        </w:rPr>
        <w:t xml:space="preserve">. </w:t>
      </w:r>
      <w:r w:rsidRPr="004854A5">
        <w:rPr>
          <w:rFonts w:ascii="Century Gothic" w:hAnsi="Century Gothic"/>
          <w:bCs/>
          <w:sz w:val="24"/>
          <w:szCs w:val="24"/>
        </w:rPr>
        <w:t xml:space="preserve">La corretta presa in carico e un adeguato follow-up sono garantiti </w:t>
      </w:r>
      <w:r>
        <w:rPr>
          <w:rFonts w:ascii="Century Gothic" w:hAnsi="Century Gothic"/>
          <w:bCs/>
          <w:sz w:val="24"/>
          <w:szCs w:val="24"/>
        </w:rPr>
        <w:t>da 4 U</w:t>
      </w:r>
      <w:r w:rsidR="00AB71C3" w:rsidRPr="00AB71C3">
        <w:rPr>
          <w:rFonts w:ascii="Century Gothic" w:hAnsi="Century Gothic"/>
          <w:bCs/>
          <w:sz w:val="24"/>
          <w:szCs w:val="24"/>
        </w:rPr>
        <w:t>nità operative</w:t>
      </w:r>
      <w:r>
        <w:rPr>
          <w:rFonts w:ascii="Century Gothic" w:hAnsi="Century Gothic"/>
          <w:bCs/>
          <w:sz w:val="24"/>
          <w:szCs w:val="24"/>
        </w:rPr>
        <w:t>, due per i</w:t>
      </w:r>
      <w:r w:rsidR="00AB71C3" w:rsidRPr="00AB71C3">
        <w:rPr>
          <w:rFonts w:ascii="Century Gothic" w:hAnsi="Century Gothic"/>
          <w:bCs/>
          <w:sz w:val="24"/>
          <w:szCs w:val="24"/>
        </w:rPr>
        <w:t xml:space="preserve">l bambino </w:t>
      </w:r>
      <w:r>
        <w:rPr>
          <w:rFonts w:ascii="Century Gothic" w:hAnsi="Century Gothic"/>
          <w:bCs/>
          <w:sz w:val="24"/>
          <w:szCs w:val="24"/>
        </w:rPr>
        <w:t xml:space="preserve">e due per </w:t>
      </w:r>
      <w:r w:rsidR="00AB71C3" w:rsidRPr="00AB71C3">
        <w:rPr>
          <w:rFonts w:ascii="Century Gothic" w:hAnsi="Century Gothic"/>
          <w:bCs/>
          <w:sz w:val="24"/>
          <w:szCs w:val="24"/>
        </w:rPr>
        <w:t xml:space="preserve">l’età adulta. La presa in carico dei pazienti pediatrici è affidata </w:t>
      </w:r>
      <w:r>
        <w:rPr>
          <w:rFonts w:ascii="Century Gothic" w:hAnsi="Century Gothic"/>
          <w:bCs/>
          <w:sz w:val="24"/>
          <w:szCs w:val="24"/>
        </w:rPr>
        <w:t>alla</w:t>
      </w:r>
      <w:r w:rsidR="00AB71C3" w:rsidRPr="00AB71C3">
        <w:rPr>
          <w:rFonts w:ascii="Century Gothic" w:hAnsi="Century Gothic"/>
          <w:bCs/>
          <w:sz w:val="24"/>
          <w:szCs w:val="24"/>
        </w:rPr>
        <w:t xml:space="preserve"> Pediatria </w:t>
      </w:r>
      <w:r>
        <w:rPr>
          <w:rFonts w:ascii="Century Gothic" w:hAnsi="Century Gothic"/>
          <w:bCs/>
          <w:sz w:val="24"/>
          <w:szCs w:val="24"/>
        </w:rPr>
        <w:t xml:space="preserve">C, diretta </w:t>
      </w:r>
      <w:r w:rsidRPr="004854A5">
        <w:rPr>
          <w:rFonts w:ascii="Century Gothic" w:hAnsi="Century Gothic"/>
          <w:bCs/>
          <w:sz w:val="24"/>
          <w:szCs w:val="24"/>
        </w:rPr>
        <w:t>dal prof. Giorgio Piacentini</w:t>
      </w:r>
      <w:r>
        <w:rPr>
          <w:rFonts w:ascii="Century Gothic" w:hAnsi="Century Gothic"/>
          <w:bCs/>
          <w:sz w:val="24"/>
          <w:szCs w:val="24"/>
        </w:rPr>
        <w:t>, che ha un ambulatorio con pediatri specializzati; mentre la</w:t>
      </w:r>
      <w:r w:rsidR="00AB71C3" w:rsidRPr="00AB71C3">
        <w:rPr>
          <w:rFonts w:ascii="Century Gothic" w:hAnsi="Century Gothic"/>
          <w:bCs/>
          <w:sz w:val="24"/>
          <w:szCs w:val="24"/>
        </w:rPr>
        <w:t xml:space="preserve"> Pediatria </w:t>
      </w:r>
      <w:r>
        <w:rPr>
          <w:rFonts w:ascii="Century Gothic" w:hAnsi="Century Gothic"/>
          <w:bCs/>
          <w:sz w:val="24"/>
          <w:szCs w:val="24"/>
        </w:rPr>
        <w:t xml:space="preserve">B, </w:t>
      </w:r>
      <w:r w:rsidR="00AB71C3" w:rsidRPr="00AB71C3">
        <w:rPr>
          <w:rFonts w:ascii="Century Gothic" w:hAnsi="Century Gothic"/>
          <w:bCs/>
          <w:sz w:val="24"/>
          <w:szCs w:val="24"/>
        </w:rPr>
        <w:t>dirett</w:t>
      </w:r>
      <w:r>
        <w:rPr>
          <w:rFonts w:ascii="Century Gothic" w:hAnsi="Century Gothic"/>
          <w:bCs/>
          <w:sz w:val="24"/>
          <w:szCs w:val="24"/>
        </w:rPr>
        <w:t>a</w:t>
      </w:r>
      <w:r w:rsidR="00AB71C3" w:rsidRPr="00AB71C3">
        <w:rPr>
          <w:rFonts w:ascii="Century Gothic" w:hAnsi="Century Gothic"/>
          <w:bCs/>
          <w:sz w:val="24"/>
          <w:szCs w:val="24"/>
        </w:rPr>
        <w:t xml:space="preserve"> dal prof. Claudio Maffeis</w:t>
      </w:r>
      <w:r>
        <w:rPr>
          <w:rFonts w:ascii="Century Gothic" w:hAnsi="Century Gothic"/>
          <w:bCs/>
          <w:sz w:val="24"/>
          <w:szCs w:val="24"/>
        </w:rPr>
        <w:t xml:space="preserve">, </w:t>
      </w:r>
      <w:r w:rsidRPr="004854A5">
        <w:rPr>
          <w:rFonts w:ascii="Century Gothic" w:hAnsi="Century Gothic"/>
          <w:bCs/>
          <w:sz w:val="24"/>
          <w:szCs w:val="24"/>
        </w:rPr>
        <w:t>che è Centro regionale diabetologia pediatrica</w:t>
      </w:r>
      <w:r>
        <w:rPr>
          <w:rFonts w:ascii="Century Gothic" w:hAnsi="Century Gothic"/>
          <w:bCs/>
          <w:sz w:val="24"/>
          <w:szCs w:val="24"/>
        </w:rPr>
        <w:t xml:space="preserve"> si occupa </w:t>
      </w:r>
      <w:r w:rsidR="001734BE">
        <w:rPr>
          <w:rFonts w:ascii="Century Gothic" w:hAnsi="Century Gothic"/>
          <w:bCs/>
          <w:sz w:val="24"/>
          <w:szCs w:val="24"/>
        </w:rPr>
        <w:t xml:space="preserve">della combinazione fra le due patologie con uno screening annuale a tutti i bambini con diabete di tipo 1. Infatti, circa l’8% </w:t>
      </w:r>
      <w:r w:rsidRPr="004854A5">
        <w:rPr>
          <w:rFonts w:ascii="Century Gothic" w:hAnsi="Century Gothic"/>
          <w:bCs/>
          <w:sz w:val="24"/>
          <w:szCs w:val="24"/>
        </w:rPr>
        <w:t xml:space="preserve">dei 600 </w:t>
      </w:r>
      <w:r w:rsidR="001734BE">
        <w:rPr>
          <w:rFonts w:ascii="Century Gothic" w:hAnsi="Century Gothic"/>
          <w:bCs/>
          <w:sz w:val="24"/>
          <w:szCs w:val="24"/>
        </w:rPr>
        <w:t xml:space="preserve">piccoli </w:t>
      </w:r>
      <w:r w:rsidRPr="004854A5">
        <w:rPr>
          <w:rFonts w:ascii="Century Gothic" w:hAnsi="Century Gothic"/>
          <w:bCs/>
          <w:sz w:val="24"/>
          <w:szCs w:val="24"/>
        </w:rPr>
        <w:t>pazienti affetti da diabete di tipo 1</w:t>
      </w:r>
      <w:r w:rsidR="001734BE">
        <w:rPr>
          <w:rFonts w:ascii="Century Gothic" w:hAnsi="Century Gothic"/>
          <w:bCs/>
          <w:sz w:val="24"/>
          <w:szCs w:val="24"/>
        </w:rPr>
        <w:t xml:space="preserve"> </w:t>
      </w:r>
      <w:r w:rsidRPr="004854A5">
        <w:rPr>
          <w:rFonts w:ascii="Century Gothic" w:hAnsi="Century Gothic"/>
          <w:bCs/>
          <w:sz w:val="24"/>
          <w:szCs w:val="24"/>
        </w:rPr>
        <w:t>presenta anche celiachia, questo si deve a predisposizione genetica e meccanismi autoimmuni simili alle due patologie</w:t>
      </w:r>
      <w:r w:rsidR="001734BE">
        <w:rPr>
          <w:rFonts w:ascii="Century Gothic" w:hAnsi="Century Gothic"/>
          <w:bCs/>
          <w:sz w:val="24"/>
          <w:szCs w:val="24"/>
        </w:rPr>
        <w:t>. P</w:t>
      </w:r>
      <w:r w:rsidR="001734BE" w:rsidRPr="001734BE">
        <w:rPr>
          <w:rFonts w:ascii="Century Gothic" w:hAnsi="Century Gothic"/>
          <w:bCs/>
          <w:sz w:val="24"/>
          <w:szCs w:val="24"/>
        </w:rPr>
        <w:t xml:space="preserve">er questi pazienti è prevista un’attenta educazione nutrizionale </w:t>
      </w:r>
      <w:r w:rsidR="001734BE">
        <w:rPr>
          <w:rFonts w:ascii="Century Gothic" w:hAnsi="Century Gothic"/>
          <w:bCs/>
          <w:sz w:val="24"/>
          <w:szCs w:val="24"/>
        </w:rPr>
        <w:t xml:space="preserve">con </w:t>
      </w:r>
      <w:r w:rsidR="001734BE" w:rsidRPr="001734BE">
        <w:rPr>
          <w:rFonts w:ascii="Century Gothic" w:hAnsi="Century Gothic"/>
          <w:bCs/>
          <w:sz w:val="24"/>
          <w:szCs w:val="24"/>
        </w:rPr>
        <w:t>le dietiste della Pediatria B e una rivalutazione periodica</w:t>
      </w:r>
      <w:r w:rsidR="00AB71C3" w:rsidRPr="00AB71C3">
        <w:rPr>
          <w:rFonts w:ascii="Century Gothic" w:hAnsi="Century Gothic"/>
          <w:bCs/>
          <w:sz w:val="24"/>
          <w:szCs w:val="24"/>
        </w:rPr>
        <w:t xml:space="preserve">. </w:t>
      </w:r>
    </w:p>
    <w:p w14:paraId="52A8A338" w14:textId="32337505" w:rsidR="00AB71C3" w:rsidRPr="00AB71C3" w:rsidRDefault="001734BE" w:rsidP="00AB71C3">
      <w:pPr>
        <w:suppressAutoHyphens w:val="0"/>
        <w:spacing w:line="256" w:lineRule="auto"/>
        <w:jc w:val="both"/>
        <w:rPr>
          <w:rFonts w:ascii="Century Gothic" w:hAnsi="Century Gothic"/>
          <w:bCs/>
          <w:sz w:val="24"/>
          <w:szCs w:val="24"/>
        </w:rPr>
      </w:pPr>
      <w:r>
        <w:rPr>
          <w:rFonts w:ascii="Century Gothic" w:hAnsi="Century Gothic"/>
          <w:bCs/>
          <w:sz w:val="24"/>
          <w:szCs w:val="24"/>
        </w:rPr>
        <w:t xml:space="preserve">I dietisti </w:t>
      </w:r>
      <w:proofErr w:type="spellStart"/>
      <w:r>
        <w:rPr>
          <w:rFonts w:ascii="Century Gothic" w:hAnsi="Century Gothic"/>
          <w:bCs/>
          <w:sz w:val="24"/>
          <w:szCs w:val="24"/>
        </w:rPr>
        <w:t>Aoui</w:t>
      </w:r>
      <w:proofErr w:type="spellEnd"/>
      <w:r>
        <w:rPr>
          <w:rFonts w:ascii="Century Gothic" w:hAnsi="Century Gothic"/>
          <w:bCs/>
          <w:sz w:val="24"/>
          <w:szCs w:val="24"/>
        </w:rPr>
        <w:t xml:space="preserve"> sono fondamentali anche nella cura dell’adulto celiaco visto che la terapia efficace è rappresentata da una rigorosa dieta priva di glutine</w:t>
      </w:r>
      <w:r w:rsidR="0019668C">
        <w:rPr>
          <w:rFonts w:ascii="Century Gothic" w:hAnsi="Century Gothic"/>
          <w:bCs/>
          <w:sz w:val="24"/>
          <w:szCs w:val="24"/>
        </w:rPr>
        <w:t>. S</w:t>
      </w:r>
      <w:r w:rsidR="00AB71C3" w:rsidRPr="00AB71C3">
        <w:rPr>
          <w:rFonts w:ascii="Century Gothic" w:hAnsi="Century Gothic"/>
          <w:bCs/>
          <w:sz w:val="24"/>
          <w:szCs w:val="24"/>
        </w:rPr>
        <w:t>e ne occupa l</w:t>
      </w:r>
      <w:r w:rsidR="0019668C">
        <w:rPr>
          <w:rFonts w:ascii="Century Gothic" w:hAnsi="Century Gothic"/>
          <w:bCs/>
          <w:sz w:val="24"/>
          <w:szCs w:val="24"/>
        </w:rPr>
        <w:t>’</w:t>
      </w:r>
      <w:proofErr w:type="spellStart"/>
      <w:r w:rsidR="00AB71C3" w:rsidRPr="00AB71C3">
        <w:rPr>
          <w:rFonts w:ascii="Century Gothic" w:hAnsi="Century Gothic"/>
          <w:bCs/>
          <w:sz w:val="24"/>
          <w:szCs w:val="24"/>
        </w:rPr>
        <w:t>Uoc</w:t>
      </w:r>
      <w:proofErr w:type="spellEnd"/>
      <w:r w:rsidR="00AB71C3" w:rsidRPr="00AB71C3">
        <w:rPr>
          <w:rFonts w:ascii="Century Gothic" w:hAnsi="Century Gothic"/>
          <w:bCs/>
          <w:sz w:val="24"/>
          <w:szCs w:val="24"/>
        </w:rPr>
        <w:t xml:space="preserve"> Gastroenterologia A, diretta dal dott. Vincenzo Giorgio Mirante,</w:t>
      </w:r>
      <w:r w:rsidR="0019668C">
        <w:rPr>
          <w:rFonts w:ascii="Century Gothic" w:hAnsi="Century Gothic"/>
          <w:bCs/>
          <w:sz w:val="24"/>
          <w:szCs w:val="24"/>
        </w:rPr>
        <w:t xml:space="preserve"> negli ambulatori specialistici di Borgo Trento</w:t>
      </w:r>
      <w:r w:rsidR="003616A9">
        <w:rPr>
          <w:rFonts w:ascii="Century Gothic" w:hAnsi="Century Gothic"/>
          <w:bCs/>
          <w:sz w:val="24"/>
          <w:szCs w:val="24"/>
        </w:rPr>
        <w:t>. L</w:t>
      </w:r>
      <w:r w:rsidR="0019668C">
        <w:rPr>
          <w:rFonts w:ascii="Century Gothic" w:hAnsi="Century Gothic"/>
          <w:bCs/>
          <w:sz w:val="24"/>
          <w:szCs w:val="24"/>
        </w:rPr>
        <w:t>’</w:t>
      </w:r>
      <w:proofErr w:type="spellStart"/>
      <w:r w:rsidR="0019668C">
        <w:rPr>
          <w:rFonts w:ascii="Century Gothic" w:hAnsi="Century Gothic"/>
          <w:bCs/>
          <w:sz w:val="24"/>
          <w:szCs w:val="24"/>
        </w:rPr>
        <w:t>Uoc</w:t>
      </w:r>
      <w:proofErr w:type="spellEnd"/>
      <w:r w:rsidR="00AB71C3" w:rsidRPr="00AB71C3">
        <w:rPr>
          <w:rFonts w:ascii="Century Gothic" w:hAnsi="Century Gothic"/>
          <w:bCs/>
          <w:sz w:val="24"/>
          <w:szCs w:val="24"/>
        </w:rPr>
        <w:t xml:space="preserve"> Gastroenterologia B, diretta dal prof. Luca Frulloni</w:t>
      </w:r>
      <w:r w:rsidR="0019668C">
        <w:rPr>
          <w:rFonts w:ascii="Century Gothic" w:hAnsi="Century Gothic"/>
          <w:bCs/>
          <w:sz w:val="24"/>
          <w:szCs w:val="24"/>
        </w:rPr>
        <w:t xml:space="preserve">, </w:t>
      </w:r>
      <w:r w:rsidR="003616A9" w:rsidRPr="003616A9">
        <w:rPr>
          <w:rFonts w:ascii="Century Gothic" w:hAnsi="Century Gothic"/>
          <w:bCs/>
          <w:sz w:val="24"/>
          <w:szCs w:val="24"/>
        </w:rPr>
        <w:t>è Centro di riferimento regionale per la diagnosi e cura della malattia celiaca</w:t>
      </w:r>
      <w:r w:rsidR="003616A9">
        <w:rPr>
          <w:rFonts w:ascii="Century Gothic" w:hAnsi="Century Gothic"/>
          <w:bCs/>
          <w:sz w:val="24"/>
          <w:szCs w:val="24"/>
        </w:rPr>
        <w:t>, o</w:t>
      </w:r>
      <w:r w:rsidR="003616A9" w:rsidRPr="003616A9">
        <w:rPr>
          <w:rFonts w:ascii="Century Gothic" w:hAnsi="Century Gothic"/>
          <w:bCs/>
          <w:sz w:val="24"/>
          <w:szCs w:val="24"/>
        </w:rPr>
        <w:t>ltre che Centro di riferimento per pazienti con malattia celiaca complessa o refrattaria alla dieta senza glutine.</w:t>
      </w:r>
      <w:r w:rsidR="003616A9">
        <w:rPr>
          <w:rFonts w:ascii="Century Gothic" w:hAnsi="Century Gothic"/>
          <w:bCs/>
          <w:sz w:val="24"/>
          <w:szCs w:val="24"/>
        </w:rPr>
        <w:t xml:space="preserve"> Negli ambulatori di </w:t>
      </w:r>
      <w:r w:rsidR="0019668C">
        <w:rPr>
          <w:rFonts w:ascii="Century Gothic" w:hAnsi="Century Gothic"/>
          <w:bCs/>
          <w:sz w:val="24"/>
          <w:szCs w:val="24"/>
        </w:rPr>
        <w:t xml:space="preserve">Borgo Roma </w:t>
      </w:r>
      <w:r w:rsidR="003616A9">
        <w:rPr>
          <w:rFonts w:ascii="Century Gothic" w:hAnsi="Century Gothic"/>
          <w:bCs/>
          <w:sz w:val="24"/>
          <w:szCs w:val="24"/>
        </w:rPr>
        <w:t>ci sono</w:t>
      </w:r>
      <w:r w:rsidR="0019668C">
        <w:rPr>
          <w:rFonts w:ascii="Century Gothic" w:hAnsi="Century Gothic"/>
          <w:bCs/>
          <w:sz w:val="24"/>
          <w:szCs w:val="24"/>
        </w:rPr>
        <w:t xml:space="preserve"> tre specialisti dedicati con prenotazione della visita tramite Cup</w:t>
      </w:r>
      <w:r w:rsidR="00AB71C3" w:rsidRPr="00AB71C3">
        <w:rPr>
          <w:rFonts w:ascii="Century Gothic" w:hAnsi="Century Gothic"/>
          <w:bCs/>
          <w:sz w:val="24"/>
          <w:szCs w:val="24"/>
        </w:rPr>
        <w:t xml:space="preserve">. </w:t>
      </w:r>
    </w:p>
    <w:p w14:paraId="11748A29" w14:textId="6A2F0DD6" w:rsidR="00AB71C3" w:rsidRDefault="00AB71C3" w:rsidP="00615B5C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7DD793FE" w14:textId="525569CD" w:rsidR="0019668C" w:rsidRPr="0019668C" w:rsidRDefault="0019668C" w:rsidP="0019668C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r w:rsidRPr="0019668C">
        <w:rPr>
          <w:rFonts w:ascii="Century Gothic" w:hAnsi="Century Gothic"/>
          <w:b/>
          <w:sz w:val="24"/>
          <w:szCs w:val="24"/>
        </w:rPr>
        <w:t>Che cos’è la celiachia</w:t>
      </w:r>
      <w:r>
        <w:rPr>
          <w:rFonts w:ascii="Century Gothic" w:hAnsi="Century Gothic"/>
          <w:sz w:val="24"/>
          <w:szCs w:val="24"/>
        </w:rPr>
        <w:t>. L</w:t>
      </w:r>
      <w:r w:rsidR="00673C6F">
        <w:rPr>
          <w:rFonts w:ascii="Century Gothic" w:hAnsi="Century Gothic"/>
          <w:sz w:val="24"/>
          <w:szCs w:val="24"/>
        </w:rPr>
        <w:t xml:space="preserve">a </w:t>
      </w:r>
      <w:r w:rsidR="00AB71C3">
        <w:rPr>
          <w:rFonts w:ascii="Century Gothic" w:hAnsi="Century Gothic"/>
          <w:sz w:val="24"/>
          <w:szCs w:val="24"/>
        </w:rPr>
        <w:t>G</w:t>
      </w:r>
      <w:r w:rsidR="00673C6F">
        <w:rPr>
          <w:rFonts w:ascii="Century Gothic" w:hAnsi="Century Gothic"/>
          <w:sz w:val="24"/>
          <w:szCs w:val="24"/>
        </w:rPr>
        <w:t>io</w:t>
      </w:r>
      <w:r w:rsidR="00C26F2E">
        <w:rPr>
          <w:rFonts w:ascii="Century Gothic" w:hAnsi="Century Gothic"/>
          <w:sz w:val="24"/>
          <w:szCs w:val="24"/>
        </w:rPr>
        <w:t>rnata mondiale della celiachia</w:t>
      </w:r>
      <w:r>
        <w:rPr>
          <w:rFonts w:ascii="Century Gothic" w:hAnsi="Century Gothic"/>
          <w:sz w:val="24"/>
          <w:szCs w:val="24"/>
        </w:rPr>
        <w:t xml:space="preserve">, che ricorre </w:t>
      </w:r>
      <w:r w:rsidRPr="0019668C">
        <w:rPr>
          <w:rFonts w:ascii="Century Gothic" w:hAnsi="Century Gothic"/>
          <w:sz w:val="24"/>
          <w:szCs w:val="24"/>
        </w:rPr>
        <w:t>Il 16 maggio</w:t>
      </w:r>
      <w:r>
        <w:rPr>
          <w:rFonts w:ascii="Century Gothic" w:hAnsi="Century Gothic"/>
          <w:sz w:val="24"/>
          <w:szCs w:val="24"/>
        </w:rPr>
        <w:t xml:space="preserve">, serve a </w:t>
      </w:r>
      <w:r w:rsidR="00AB71C3">
        <w:rPr>
          <w:rFonts w:ascii="Century Gothic" w:hAnsi="Century Gothic"/>
          <w:sz w:val="24"/>
          <w:szCs w:val="24"/>
        </w:rPr>
        <w:t>pr</w:t>
      </w:r>
      <w:r w:rsidR="00673C6F">
        <w:rPr>
          <w:rFonts w:ascii="Century Gothic" w:hAnsi="Century Gothic"/>
          <w:sz w:val="24"/>
          <w:szCs w:val="24"/>
        </w:rPr>
        <w:t>omuovere</w:t>
      </w:r>
      <w:r w:rsidR="00673C6F" w:rsidRPr="00673C6F">
        <w:rPr>
          <w:rFonts w:ascii="Century Gothic" w:hAnsi="Century Gothic"/>
          <w:sz w:val="24"/>
          <w:szCs w:val="24"/>
        </w:rPr>
        <w:t xml:space="preserve"> </w:t>
      </w:r>
      <w:r w:rsidR="00AB71C3">
        <w:rPr>
          <w:rFonts w:ascii="Century Gothic" w:hAnsi="Century Gothic"/>
          <w:sz w:val="24"/>
          <w:szCs w:val="24"/>
        </w:rPr>
        <w:t>l</w:t>
      </w:r>
      <w:r w:rsidR="00C26F2E">
        <w:rPr>
          <w:rFonts w:ascii="Century Gothic" w:hAnsi="Century Gothic"/>
          <w:sz w:val="24"/>
          <w:szCs w:val="24"/>
        </w:rPr>
        <w:t xml:space="preserve">a </w:t>
      </w:r>
      <w:r w:rsidR="00673C6F" w:rsidRPr="00673C6F">
        <w:rPr>
          <w:rFonts w:ascii="Century Gothic" w:hAnsi="Century Gothic"/>
          <w:sz w:val="24"/>
          <w:szCs w:val="24"/>
        </w:rPr>
        <w:t>corretta informazione e sfatare i falsi miti su questa patologia cronica autoimmune</w:t>
      </w:r>
      <w:r w:rsidR="00C26F2E">
        <w:rPr>
          <w:rFonts w:ascii="Century Gothic" w:hAnsi="Century Gothic"/>
          <w:sz w:val="24"/>
          <w:szCs w:val="24"/>
        </w:rPr>
        <w:t>.</w:t>
      </w:r>
      <w:r>
        <w:rPr>
          <w:rFonts w:ascii="Century Gothic" w:hAnsi="Century Gothic"/>
          <w:sz w:val="24"/>
          <w:szCs w:val="24"/>
        </w:rPr>
        <w:t xml:space="preserve"> </w:t>
      </w:r>
      <w:r w:rsidR="00634B90" w:rsidRPr="00634B90">
        <w:rPr>
          <w:rFonts w:ascii="Century Gothic" w:hAnsi="Century Gothic"/>
          <w:bCs/>
          <w:sz w:val="24"/>
          <w:szCs w:val="24"/>
        </w:rPr>
        <w:t xml:space="preserve">È </w:t>
      </w:r>
      <w:r w:rsidR="00634B90" w:rsidRPr="00615B5C">
        <w:rPr>
          <w:rFonts w:ascii="Century Gothic" w:hAnsi="Century Gothic"/>
          <w:sz w:val="24"/>
          <w:szCs w:val="24"/>
        </w:rPr>
        <w:t>una malattia scatenata dall'assunzione di glutine in soggetti geneticamente predisposti</w:t>
      </w:r>
      <w:r w:rsidR="001355C7">
        <w:rPr>
          <w:rFonts w:ascii="Century Gothic" w:hAnsi="Century Gothic"/>
          <w:sz w:val="24"/>
          <w:szCs w:val="24"/>
        </w:rPr>
        <w:t xml:space="preserve"> e</w:t>
      </w:r>
      <w:r w:rsidR="00634B90" w:rsidRPr="00615B5C">
        <w:rPr>
          <w:rFonts w:ascii="Century Gothic" w:hAnsi="Century Gothic"/>
          <w:sz w:val="24"/>
          <w:szCs w:val="24"/>
        </w:rPr>
        <w:t xml:space="preserve"> che colpisce primariamente l'intestino.</w:t>
      </w:r>
      <w:r w:rsidR="00C26F2E">
        <w:rPr>
          <w:rFonts w:ascii="Century Gothic" w:hAnsi="Century Gothic"/>
          <w:sz w:val="24"/>
          <w:szCs w:val="24"/>
        </w:rPr>
        <w:t xml:space="preserve"> </w:t>
      </w:r>
      <w:r w:rsidR="005F454A" w:rsidRPr="00615B5C">
        <w:rPr>
          <w:rFonts w:ascii="Century Gothic" w:hAnsi="Century Gothic"/>
          <w:sz w:val="24"/>
          <w:szCs w:val="24"/>
        </w:rPr>
        <w:t xml:space="preserve">Il </w:t>
      </w:r>
      <w:r w:rsidR="005F454A" w:rsidRPr="00615B5C">
        <w:rPr>
          <w:rFonts w:ascii="Century Gothic" w:hAnsi="Century Gothic"/>
          <w:sz w:val="24"/>
          <w:szCs w:val="24"/>
        </w:rPr>
        <w:lastRenderedPageBreak/>
        <w:t>sospetto diagnostico nasce anche in presenza di condizioni predisponenti: familiarità, altre malattie autoimmuni, dermatite erpetiforme, colite microscopica e sindromi genetiche come la sindrome di Down e la sindrome di Turner.</w:t>
      </w:r>
      <w:r w:rsidR="005F454A">
        <w:rPr>
          <w:rFonts w:ascii="Century Gothic" w:hAnsi="Century Gothic"/>
          <w:sz w:val="24"/>
          <w:szCs w:val="24"/>
        </w:rPr>
        <w:t xml:space="preserve"> </w:t>
      </w:r>
      <w:r w:rsidR="003A1BFD">
        <w:rPr>
          <w:rFonts w:ascii="Century Gothic" w:hAnsi="Century Gothic"/>
          <w:sz w:val="24"/>
          <w:szCs w:val="24"/>
        </w:rPr>
        <w:t>L’incidenza complessiva risulta simile tra uomini e donne.</w:t>
      </w:r>
      <w:r w:rsidRPr="0019668C">
        <w:rPr>
          <w:rFonts w:ascii="Century Gothic" w:hAnsi="Century Gothic"/>
          <w:sz w:val="24"/>
          <w:szCs w:val="24"/>
        </w:rPr>
        <w:t xml:space="preserve"> La malattia può manifestarsi con sintomi gastrointestinali classici: diarrea, gonfiore addominale, dolore addominale. Si possono verificare anche manifestazioni </w:t>
      </w:r>
      <w:proofErr w:type="spellStart"/>
      <w:r w:rsidRPr="0019668C">
        <w:rPr>
          <w:rFonts w:ascii="Century Gothic" w:hAnsi="Century Gothic"/>
          <w:sz w:val="24"/>
          <w:szCs w:val="24"/>
        </w:rPr>
        <w:t>extraintestinali</w:t>
      </w:r>
      <w:proofErr w:type="spellEnd"/>
      <w:r w:rsidRPr="0019668C">
        <w:rPr>
          <w:rFonts w:ascii="Century Gothic" w:hAnsi="Century Gothic"/>
          <w:sz w:val="24"/>
          <w:szCs w:val="24"/>
        </w:rPr>
        <w:t xml:space="preserve">, come anemia </w:t>
      </w:r>
      <w:proofErr w:type="spellStart"/>
      <w:r w:rsidRPr="0019668C">
        <w:rPr>
          <w:rFonts w:ascii="Century Gothic" w:hAnsi="Century Gothic"/>
          <w:sz w:val="24"/>
          <w:szCs w:val="24"/>
        </w:rPr>
        <w:t>sideropenica</w:t>
      </w:r>
      <w:proofErr w:type="spellEnd"/>
      <w:r w:rsidRPr="0019668C">
        <w:rPr>
          <w:rFonts w:ascii="Century Gothic" w:hAnsi="Century Gothic"/>
          <w:sz w:val="24"/>
          <w:szCs w:val="24"/>
        </w:rPr>
        <w:t xml:space="preserve">, </w:t>
      </w:r>
      <w:proofErr w:type="spellStart"/>
      <w:r w:rsidRPr="0019668C">
        <w:rPr>
          <w:rFonts w:ascii="Century Gothic" w:hAnsi="Century Gothic"/>
          <w:sz w:val="24"/>
          <w:szCs w:val="24"/>
        </w:rPr>
        <w:t>osteopenia</w:t>
      </w:r>
      <w:proofErr w:type="spellEnd"/>
      <w:r w:rsidRPr="0019668C">
        <w:rPr>
          <w:rFonts w:ascii="Century Gothic" w:hAnsi="Century Gothic"/>
          <w:sz w:val="24"/>
          <w:szCs w:val="24"/>
        </w:rPr>
        <w:t>, alterazioni degli esami epatici, stanchezza cronica.</w:t>
      </w:r>
    </w:p>
    <w:p w14:paraId="4A46361F" w14:textId="77777777" w:rsidR="00901A52" w:rsidRDefault="00901A52" w:rsidP="0068141A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5E54B5B6" w14:textId="095E6951" w:rsidR="0068141A" w:rsidRDefault="00901A52" w:rsidP="0068141A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r w:rsidRPr="0043441F">
        <w:rPr>
          <w:rFonts w:ascii="Century Gothic" w:hAnsi="Century Gothic"/>
          <w:b/>
          <w:sz w:val="24"/>
          <w:szCs w:val="24"/>
        </w:rPr>
        <w:t>Iter diagnostico</w:t>
      </w:r>
      <w:r w:rsidR="003616A9">
        <w:rPr>
          <w:rFonts w:ascii="Century Gothic" w:hAnsi="Century Gothic"/>
          <w:b/>
          <w:sz w:val="24"/>
          <w:szCs w:val="24"/>
        </w:rPr>
        <w:t xml:space="preserve"> e follow up</w:t>
      </w:r>
      <w:bookmarkStart w:id="0" w:name="_GoBack"/>
      <w:bookmarkEnd w:id="0"/>
      <w:r w:rsidRPr="0043441F">
        <w:rPr>
          <w:rFonts w:ascii="Century Gothic" w:hAnsi="Century Gothic"/>
          <w:b/>
          <w:sz w:val="24"/>
          <w:szCs w:val="24"/>
        </w:rPr>
        <w:t>.</w:t>
      </w:r>
      <w:r>
        <w:rPr>
          <w:rFonts w:ascii="Century Gothic" w:hAnsi="Century Gothic"/>
          <w:sz w:val="24"/>
          <w:szCs w:val="24"/>
        </w:rPr>
        <w:t xml:space="preserve"> </w:t>
      </w:r>
      <w:r w:rsidR="003616A9" w:rsidRPr="003616A9">
        <w:rPr>
          <w:rFonts w:ascii="Century Gothic" w:hAnsi="Century Gothic"/>
          <w:sz w:val="24"/>
          <w:szCs w:val="24"/>
        </w:rPr>
        <w:t>Il sospetto diagnostico può nascere dalla presenza di sintomi tipici o atipici, oppure in casi di condizioni predisponenti</w:t>
      </w:r>
      <w:r w:rsidR="003616A9">
        <w:rPr>
          <w:rFonts w:ascii="Century Gothic" w:hAnsi="Century Gothic"/>
          <w:sz w:val="24"/>
          <w:szCs w:val="24"/>
        </w:rPr>
        <w:t xml:space="preserve">. </w:t>
      </w:r>
      <w:r>
        <w:rPr>
          <w:rFonts w:ascii="Century Gothic" w:hAnsi="Century Gothic"/>
          <w:sz w:val="24"/>
          <w:szCs w:val="24"/>
        </w:rPr>
        <w:t>Le</w:t>
      </w:r>
      <w:r w:rsidR="00E76ACB">
        <w:rPr>
          <w:rFonts w:ascii="Century Gothic" w:hAnsi="Century Gothic"/>
          <w:sz w:val="24"/>
          <w:szCs w:val="24"/>
        </w:rPr>
        <w:t xml:space="preserve"> </w:t>
      </w:r>
      <w:r w:rsidR="00E76ACB" w:rsidRPr="00615B5C">
        <w:rPr>
          <w:rFonts w:ascii="Century Gothic" w:hAnsi="Century Gothic"/>
          <w:sz w:val="24"/>
          <w:szCs w:val="24"/>
        </w:rPr>
        <w:t>diagnosi</w:t>
      </w:r>
      <w:r>
        <w:rPr>
          <w:rFonts w:ascii="Century Gothic" w:hAnsi="Century Gothic"/>
          <w:sz w:val="24"/>
          <w:szCs w:val="24"/>
        </w:rPr>
        <w:t xml:space="preserve"> si basano </w:t>
      </w:r>
      <w:r w:rsidR="00E76ACB" w:rsidRPr="00615B5C">
        <w:rPr>
          <w:rFonts w:ascii="Century Gothic" w:hAnsi="Century Gothic"/>
          <w:sz w:val="24"/>
          <w:szCs w:val="24"/>
        </w:rPr>
        <w:t>sull'integrazione di dati clinici, sierologici, genetici e istologici.</w:t>
      </w:r>
      <w:r w:rsidR="0068141A">
        <w:rPr>
          <w:rFonts w:ascii="Century Gothic" w:hAnsi="Century Gothic"/>
          <w:sz w:val="24"/>
          <w:szCs w:val="24"/>
        </w:rPr>
        <w:t xml:space="preserve"> </w:t>
      </w:r>
      <w:r w:rsidR="00E76ACB" w:rsidRPr="00615B5C">
        <w:rPr>
          <w:rFonts w:ascii="Century Gothic" w:hAnsi="Century Gothic"/>
          <w:sz w:val="24"/>
          <w:szCs w:val="24"/>
        </w:rPr>
        <w:t>I pazienti con sospetta malattia celiaca vengono</w:t>
      </w:r>
      <w:r w:rsidR="001355C7">
        <w:rPr>
          <w:rFonts w:ascii="Century Gothic" w:hAnsi="Century Gothic"/>
          <w:sz w:val="24"/>
          <w:szCs w:val="24"/>
        </w:rPr>
        <w:t xml:space="preserve"> </w:t>
      </w:r>
      <w:r w:rsidR="00E76ACB">
        <w:rPr>
          <w:rFonts w:ascii="Century Gothic" w:hAnsi="Century Gothic"/>
          <w:sz w:val="24"/>
          <w:szCs w:val="24"/>
        </w:rPr>
        <w:t>poi</w:t>
      </w:r>
      <w:r w:rsidR="00E76ACB" w:rsidRPr="00615B5C">
        <w:rPr>
          <w:rFonts w:ascii="Century Gothic" w:hAnsi="Century Gothic"/>
          <w:sz w:val="24"/>
          <w:szCs w:val="24"/>
        </w:rPr>
        <w:t xml:space="preserve"> presi in carico presso l'unità specialistica: il completamento diagnostico avviene mediante esami ematici, sierologia specifica ed esame endoscopico di gastroscopia con biopsie duodenali, presso il Day Service.</w:t>
      </w:r>
      <w:r w:rsidR="002071D8">
        <w:rPr>
          <w:rFonts w:ascii="Century Gothic" w:hAnsi="Century Gothic"/>
          <w:sz w:val="24"/>
          <w:szCs w:val="24"/>
        </w:rPr>
        <w:t xml:space="preserve"> </w:t>
      </w:r>
      <w:r w:rsidR="00D7739D">
        <w:rPr>
          <w:rFonts w:ascii="Century Gothic" w:hAnsi="Century Gothic"/>
          <w:sz w:val="24"/>
          <w:szCs w:val="24"/>
        </w:rPr>
        <w:t>A</w:t>
      </w:r>
      <w:r w:rsidR="0068141A">
        <w:rPr>
          <w:rFonts w:ascii="Century Gothic" w:hAnsi="Century Gothic"/>
          <w:sz w:val="24"/>
          <w:szCs w:val="24"/>
        </w:rPr>
        <w:t>lla conferma diagnostica</w:t>
      </w:r>
      <w:r w:rsidR="00D7739D">
        <w:rPr>
          <w:rFonts w:ascii="Century Gothic" w:hAnsi="Century Gothic"/>
          <w:sz w:val="24"/>
          <w:szCs w:val="24"/>
        </w:rPr>
        <w:t>,</w:t>
      </w:r>
      <w:r w:rsidR="0043441F">
        <w:rPr>
          <w:rFonts w:ascii="Century Gothic" w:hAnsi="Century Gothic"/>
          <w:sz w:val="24"/>
          <w:szCs w:val="24"/>
        </w:rPr>
        <w:t xml:space="preserve"> oltre al rilascio della certificazione,</w:t>
      </w:r>
      <w:r w:rsidR="00D7739D">
        <w:rPr>
          <w:rFonts w:ascii="Century Gothic" w:hAnsi="Century Gothic"/>
          <w:sz w:val="24"/>
          <w:szCs w:val="24"/>
        </w:rPr>
        <w:t xml:space="preserve"> </w:t>
      </w:r>
      <w:r w:rsidR="0068141A">
        <w:rPr>
          <w:rFonts w:ascii="Century Gothic" w:hAnsi="Century Gothic"/>
          <w:sz w:val="24"/>
          <w:szCs w:val="24"/>
        </w:rPr>
        <w:t xml:space="preserve">il paziente </w:t>
      </w:r>
      <w:r w:rsidR="00D7739D">
        <w:rPr>
          <w:rFonts w:ascii="Century Gothic" w:hAnsi="Century Gothic"/>
          <w:sz w:val="24"/>
          <w:szCs w:val="24"/>
        </w:rPr>
        <w:t>viene</w:t>
      </w:r>
      <w:r w:rsidR="0068141A">
        <w:rPr>
          <w:rFonts w:ascii="Century Gothic" w:hAnsi="Century Gothic"/>
          <w:sz w:val="24"/>
          <w:szCs w:val="24"/>
        </w:rPr>
        <w:t xml:space="preserve"> avviato a una valutazione dietologica per l’inizio della dieta </w:t>
      </w:r>
      <w:r w:rsidR="0043441F">
        <w:rPr>
          <w:rFonts w:ascii="Century Gothic" w:hAnsi="Century Gothic"/>
          <w:sz w:val="24"/>
          <w:szCs w:val="24"/>
        </w:rPr>
        <w:t xml:space="preserve">priva di glutine. Da questo momento si svolgono follow-up a 6 e 12 mesi. </w:t>
      </w:r>
      <w:r w:rsidR="0068141A" w:rsidRPr="0068141A">
        <w:rPr>
          <w:rFonts w:ascii="Century Gothic" w:hAnsi="Century Gothic"/>
          <w:sz w:val="24"/>
          <w:szCs w:val="24"/>
        </w:rPr>
        <w:t xml:space="preserve">Al termine del primo anno, se il paziente risulta stabile e adeguatamente controllato, prosegue </w:t>
      </w:r>
      <w:r w:rsidR="0043441F">
        <w:rPr>
          <w:rFonts w:ascii="Century Gothic" w:hAnsi="Century Gothic"/>
          <w:sz w:val="24"/>
          <w:szCs w:val="24"/>
        </w:rPr>
        <w:t xml:space="preserve">il </w:t>
      </w:r>
      <w:r w:rsidR="0068141A" w:rsidRPr="0068141A">
        <w:rPr>
          <w:rFonts w:ascii="Century Gothic" w:hAnsi="Century Gothic"/>
          <w:sz w:val="24"/>
          <w:szCs w:val="24"/>
        </w:rPr>
        <w:t>follow-up annuale in regime ambulatoriale.</w:t>
      </w:r>
    </w:p>
    <w:p w14:paraId="0E5CAE45" w14:textId="3B5903F6" w:rsidR="00C26F2E" w:rsidRDefault="00C26F2E" w:rsidP="0068141A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6C3D69B5" w14:textId="77777777" w:rsidR="00F807C7" w:rsidRDefault="00F807C7" w:rsidP="00615B5C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7536A96B" w14:textId="77777777" w:rsidR="00F807C7" w:rsidRDefault="00F807C7" w:rsidP="00615B5C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sectPr w:rsidR="00F807C7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78D4D9" w14:textId="77777777" w:rsidR="00F93EE3" w:rsidRDefault="00F93EE3">
      <w:r>
        <w:separator/>
      </w:r>
    </w:p>
  </w:endnote>
  <w:endnote w:type="continuationSeparator" w:id="0">
    <w:p w14:paraId="3193C232" w14:textId="77777777" w:rsidR="00F93EE3" w:rsidRDefault="00F93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F93EE3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07C3755D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D83217">
      <w:rPr>
        <w:rStyle w:val="Numeropagina"/>
        <w:noProof/>
        <w:sz w:val="16"/>
        <w:szCs w:val="16"/>
      </w:rPr>
      <w:t>3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809872" w14:textId="77777777" w:rsidR="00F93EE3" w:rsidRDefault="00F93EE3">
      <w:r>
        <w:separator/>
      </w:r>
    </w:p>
  </w:footnote>
  <w:footnote w:type="continuationSeparator" w:id="0">
    <w:p w14:paraId="1957B203" w14:textId="77777777" w:rsidR="00F93EE3" w:rsidRDefault="00F93E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0CC9"/>
    <w:rsid w:val="00001D9F"/>
    <w:rsid w:val="00005E90"/>
    <w:rsid w:val="000168B2"/>
    <w:rsid w:val="00016F15"/>
    <w:rsid w:val="000337FB"/>
    <w:rsid w:val="000446CC"/>
    <w:rsid w:val="00044B43"/>
    <w:rsid w:val="00044DDB"/>
    <w:rsid w:val="000469AA"/>
    <w:rsid w:val="00052B8C"/>
    <w:rsid w:val="00054BE8"/>
    <w:rsid w:val="000660BF"/>
    <w:rsid w:val="00067F6E"/>
    <w:rsid w:val="00071B73"/>
    <w:rsid w:val="00076CA5"/>
    <w:rsid w:val="000972EB"/>
    <w:rsid w:val="000A5B85"/>
    <w:rsid w:val="000B2E1D"/>
    <w:rsid w:val="000B2EB4"/>
    <w:rsid w:val="000D1844"/>
    <w:rsid w:val="000D19DE"/>
    <w:rsid w:val="000F4393"/>
    <w:rsid w:val="000F5FA6"/>
    <w:rsid w:val="000F75FE"/>
    <w:rsid w:val="001074C9"/>
    <w:rsid w:val="00126DB0"/>
    <w:rsid w:val="00131701"/>
    <w:rsid w:val="00131B5A"/>
    <w:rsid w:val="00135077"/>
    <w:rsid w:val="001355C7"/>
    <w:rsid w:val="00142FEC"/>
    <w:rsid w:val="00150CB8"/>
    <w:rsid w:val="00163EF3"/>
    <w:rsid w:val="00171491"/>
    <w:rsid w:val="001734BE"/>
    <w:rsid w:val="00186FDF"/>
    <w:rsid w:val="00195263"/>
    <w:rsid w:val="0019668C"/>
    <w:rsid w:val="001A34F6"/>
    <w:rsid w:val="001B222B"/>
    <w:rsid w:val="001B3A4C"/>
    <w:rsid w:val="001C0E3D"/>
    <w:rsid w:val="001C1E8B"/>
    <w:rsid w:val="001C4E07"/>
    <w:rsid w:val="001C602D"/>
    <w:rsid w:val="001D6619"/>
    <w:rsid w:val="001E6E94"/>
    <w:rsid w:val="002071D8"/>
    <w:rsid w:val="00211E79"/>
    <w:rsid w:val="0021265E"/>
    <w:rsid w:val="00220E80"/>
    <w:rsid w:val="00232800"/>
    <w:rsid w:val="00251022"/>
    <w:rsid w:val="00256D92"/>
    <w:rsid w:val="0026507D"/>
    <w:rsid w:val="00281D76"/>
    <w:rsid w:val="0028723D"/>
    <w:rsid w:val="002955DF"/>
    <w:rsid w:val="002A6D44"/>
    <w:rsid w:val="002A76EF"/>
    <w:rsid w:val="002B0FD3"/>
    <w:rsid w:val="002B5517"/>
    <w:rsid w:val="002C439C"/>
    <w:rsid w:val="002C531E"/>
    <w:rsid w:val="002D1BC7"/>
    <w:rsid w:val="002D5DFA"/>
    <w:rsid w:val="002E309A"/>
    <w:rsid w:val="00304E1B"/>
    <w:rsid w:val="00305505"/>
    <w:rsid w:val="00322772"/>
    <w:rsid w:val="00330B0F"/>
    <w:rsid w:val="00334395"/>
    <w:rsid w:val="00334DBD"/>
    <w:rsid w:val="0034525B"/>
    <w:rsid w:val="003578DD"/>
    <w:rsid w:val="003616A9"/>
    <w:rsid w:val="00364CE1"/>
    <w:rsid w:val="003656B7"/>
    <w:rsid w:val="0036769C"/>
    <w:rsid w:val="00385F98"/>
    <w:rsid w:val="00387F33"/>
    <w:rsid w:val="0039096F"/>
    <w:rsid w:val="003949E3"/>
    <w:rsid w:val="003A0AA8"/>
    <w:rsid w:val="003A1BFD"/>
    <w:rsid w:val="003B17E5"/>
    <w:rsid w:val="003C7B4E"/>
    <w:rsid w:val="003D19E7"/>
    <w:rsid w:val="003E7C18"/>
    <w:rsid w:val="003F7BAD"/>
    <w:rsid w:val="004255AC"/>
    <w:rsid w:val="00426A95"/>
    <w:rsid w:val="004339E2"/>
    <w:rsid w:val="0043441F"/>
    <w:rsid w:val="00434B3E"/>
    <w:rsid w:val="00435984"/>
    <w:rsid w:val="00435D36"/>
    <w:rsid w:val="004477FF"/>
    <w:rsid w:val="00447C91"/>
    <w:rsid w:val="0045330F"/>
    <w:rsid w:val="004642C6"/>
    <w:rsid w:val="00467D83"/>
    <w:rsid w:val="00471005"/>
    <w:rsid w:val="0047167A"/>
    <w:rsid w:val="00472792"/>
    <w:rsid w:val="00472A5B"/>
    <w:rsid w:val="00473C29"/>
    <w:rsid w:val="00476FB4"/>
    <w:rsid w:val="004854A5"/>
    <w:rsid w:val="00492133"/>
    <w:rsid w:val="004962E5"/>
    <w:rsid w:val="004A4F66"/>
    <w:rsid w:val="004C3357"/>
    <w:rsid w:val="004E54B1"/>
    <w:rsid w:val="004F54EB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781"/>
    <w:rsid w:val="00556ED6"/>
    <w:rsid w:val="00561232"/>
    <w:rsid w:val="00566947"/>
    <w:rsid w:val="0057595C"/>
    <w:rsid w:val="005778AA"/>
    <w:rsid w:val="00590417"/>
    <w:rsid w:val="00595025"/>
    <w:rsid w:val="005A08CF"/>
    <w:rsid w:val="005A1D34"/>
    <w:rsid w:val="005C6023"/>
    <w:rsid w:val="005E3FFF"/>
    <w:rsid w:val="005E4D16"/>
    <w:rsid w:val="005F3128"/>
    <w:rsid w:val="005F454A"/>
    <w:rsid w:val="0060241B"/>
    <w:rsid w:val="00603F95"/>
    <w:rsid w:val="00612389"/>
    <w:rsid w:val="00615B5C"/>
    <w:rsid w:val="00620404"/>
    <w:rsid w:val="006213F7"/>
    <w:rsid w:val="00626CD5"/>
    <w:rsid w:val="00634B90"/>
    <w:rsid w:val="00644AEC"/>
    <w:rsid w:val="006467E4"/>
    <w:rsid w:val="00650510"/>
    <w:rsid w:val="00655D4D"/>
    <w:rsid w:val="00661363"/>
    <w:rsid w:val="00665EC3"/>
    <w:rsid w:val="00673C6F"/>
    <w:rsid w:val="00674BC5"/>
    <w:rsid w:val="0068141A"/>
    <w:rsid w:val="00694E7C"/>
    <w:rsid w:val="006A0F88"/>
    <w:rsid w:val="006A21A2"/>
    <w:rsid w:val="006B16A8"/>
    <w:rsid w:val="006B1D75"/>
    <w:rsid w:val="006B1F1C"/>
    <w:rsid w:val="006B3F2B"/>
    <w:rsid w:val="006B483F"/>
    <w:rsid w:val="006B63A7"/>
    <w:rsid w:val="006C191D"/>
    <w:rsid w:val="006C3A76"/>
    <w:rsid w:val="006C5801"/>
    <w:rsid w:val="006C5A3D"/>
    <w:rsid w:val="006D0750"/>
    <w:rsid w:val="006F297B"/>
    <w:rsid w:val="006F493E"/>
    <w:rsid w:val="00700B07"/>
    <w:rsid w:val="00701E98"/>
    <w:rsid w:val="0070381B"/>
    <w:rsid w:val="00703D50"/>
    <w:rsid w:val="00707657"/>
    <w:rsid w:val="00713A61"/>
    <w:rsid w:val="00713DD1"/>
    <w:rsid w:val="00726A76"/>
    <w:rsid w:val="007316D7"/>
    <w:rsid w:val="00731C76"/>
    <w:rsid w:val="00732B7F"/>
    <w:rsid w:val="00734DF2"/>
    <w:rsid w:val="00736EE7"/>
    <w:rsid w:val="00741D85"/>
    <w:rsid w:val="007660CC"/>
    <w:rsid w:val="00776148"/>
    <w:rsid w:val="00783AB7"/>
    <w:rsid w:val="00794A01"/>
    <w:rsid w:val="007A2E1C"/>
    <w:rsid w:val="007B4F28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6F78"/>
    <w:rsid w:val="007F70C6"/>
    <w:rsid w:val="0080618A"/>
    <w:rsid w:val="00811322"/>
    <w:rsid w:val="0081167A"/>
    <w:rsid w:val="00821C9B"/>
    <w:rsid w:val="008224BE"/>
    <w:rsid w:val="00830092"/>
    <w:rsid w:val="00832A0A"/>
    <w:rsid w:val="008333A8"/>
    <w:rsid w:val="008430AC"/>
    <w:rsid w:val="008473E1"/>
    <w:rsid w:val="008521E4"/>
    <w:rsid w:val="00857602"/>
    <w:rsid w:val="00861987"/>
    <w:rsid w:val="0086411B"/>
    <w:rsid w:val="00864AF0"/>
    <w:rsid w:val="008806E4"/>
    <w:rsid w:val="00883AA0"/>
    <w:rsid w:val="00894F8F"/>
    <w:rsid w:val="00896BFB"/>
    <w:rsid w:val="008A1F74"/>
    <w:rsid w:val="008C5476"/>
    <w:rsid w:val="008D1E1E"/>
    <w:rsid w:val="008F0A38"/>
    <w:rsid w:val="008F3850"/>
    <w:rsid w:val="00901A52"/>
    <w:rsid w:val="00904ED4"/>
    <w:rsid w:val="00910F3B"/>
    <w:rsid w:val="009119B9"/>
    <w:rsid w:val="00914144"/>
    <w:rsid w:val="00917B21"/>
    <w:rsid w:val="00917CA3"/>
    <w:rsid w:val="00921379"/>
    <w:rsid w:val="00922B6E"/>
    <w:rsid w:val="00925F41"/>
    <w:rsid w:val="00931781"/>
    <w:rsid w:val="00935648"/>
    <w:rsid w:val="00941567"/>
    <w:rsid w:val="009420D2"/>
    <w:rsid w:val="00945CFD"/>
    <w:rsid w:val="0096197D"/>
    <w:rsid w:val="009752F5"/>
    <w:rsid w:val="009776B7"/>
    <w:rsid w:val="009824CE"/>
    <w:rsid w:val="00982744"/>
    <w:rsid w:val="009A1E67"/>
    <w:rsid w:val="009A65F4"/>
    <w:rsid w:val="009B19B7"/>
    <w:rsid w:val="009B484E"/>
    <w:rsid w:val="009B4944"/>
    <w:rsid w:val="009B6A29"/>
    <w:rsid w:val="009C4547"/>
    <w:rsid w:val="009C55E6"/>
    <w:rsid w:val="009D099A"/>
    <w:rsid w:val="009D64F6"/>
    <w:rsid w:val="009D703D"/>
    <w:rsid w:val="009E6E09"/>
    <w:rsid w:val="009E7E75"/>
    <w:rsid w:val="009F1CD4"/>
    <w:rsid w:val="00A029FE"/>
    <w:rsid w:val="00A03AFD"/>
    <w:rsid w:val="00A16781"/>
    <w:rsid w:val="00A26749"/>
    <w:rsid w:val="00A345D2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A5E4C"/>
    <w:rsid w:val="00AB3C51"/>
    <w:rsid w:val="00AB71C3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32EB"/>
    <w:rsid w:val="00B15A3D"/>
    <w:rsid w:val="00B20C9A"/>
    <w:rsid w:val="00B2468F"/>
    <w:rsid w:val="00B30658"/>
    <w:rsid w:val="00B41684"/>
    <w:rsid w:val="00B6215F"/>
    <w:rsid w:val="00B6242F"/>
    <w:rsid w:val="00B64E3E"/>
    <w:rsid w:val="00B64EE7"/>
    <w:rsid w:val="00B66F65"/>
    <w:rsid w:val="00B73BCF"/>
    <w:rsid w:val="00B8523C"/>
    <w:rsid w:val="00B85C8C"/>
    <w:rsid w:val="00B901A1"/>
    <w:rsid w:val="00BA5023"/>
    <w:rsid w:val="00BA71D6"/>
    <w:rsid w:val="00BC4B05"/>
    <w:rsid w:val="00BC550C"/>
    <w:rsid w:val="00BC6A91"/>
    <w:rsid w:val="00BC76ED"/>
    <w:rsid w:val="00BD2A6E"/>
    <w:rsid w:val="00BE0706"/>
    <w:rsid w:val="00BE2971"/>
    <w:rsid w:val="00BE2B97"/>
    <w:rsid w:val="00BE58AE"/>
    <w:rsid w:val="00BE6B57"/>
    <w:rsid w:val="00BF0FF9"/>
    <w:rsid w:val="00BF2B6C"/>
    <w:rsid w:val="00C05A0C"/>
    <w:rsid w:val="00C22A90"/>
    <w:rsid w:val="00C26F2E"/>
    <w:rsid w:val="00C43D27"/>
    <w:rsid w:val="00C81136"/>
    <w:rsid w:val="00C92FC6"/>
    <w:rsid w:val="00C930D5"/>
    <w:rsid w:val="00CA6F49"/>
    <w:rsid w:val="00CC09D0"/>
    <w:rsid w:val="00CF41B1"/>
    <w:rsid w:val="00CF67E4"/>
    <w:rsid w:val="00D02802"/>
    <w:rsid w:val="00D05C74"/>
    <w:rsid w:val="00D12011"/>
    <w:rsid w:val="00D15BB2"/>
    <w:rsid w:val="00D23B55"/>
    <w:rsid w:val="00D27D2B"/>
    <w:rsid w:val="00D47A75"/>
    <w:rsid w:val="00D47BC5"/>
    <w:rsid w:val="00D75A84"/>
    <w:rsid w:val="00D7739D"/>
    <w:rsid w:val="00D817E7"/>
    <w:rsid w:val="00D83217"/>
    <w:rsid w:val="00D84103"/>
    <w:rsid w:val="00D90207"/>
    <w:rsid w:val="00D935EF"/>
    <w:rsid w:val="00DC449B"/>
    <w:rsid w:val="00DC5946"/>
    <w:rsid w:val="00DC7DC5"/>
    <w:rsid w:val="00DD4224"/>
    <w:rsid w:val="00DD63AF"/>
    <w:rsid w:val="00DE14DF"/>
    <w:rsid w:val="00E03611"/>
    <w:rsid w:val="00E1135B"/>
    <w:rsid w:val="00E12EBE"/>
    <w:rsid w:val="00E12ECD"/>
    <w:rsid w:val="00E22C6C"/>
    <w:rsid w:val="00E24D52"/>
    <w:rsid w:val="00E254A1"/>
    <w:rsid w:val="00E307A7"/>
    <w:rsid w:val="00E32BA5"/>
    <w:rsid w:val="00E45F1F"/>
    <w:rsid w:val="00E53464"/>
    <w:rsid w:val="00E54BD9"/>
    <w:rsid w:val="00E57256"/>
    <w:rsid w:val="00E7016A"/>
    <w:rsid w:val="00E72687"/>
    <w:rsid w:val="00E76ACB"/>
    <w:rsid w:val="00E80FB8"/>
    <w:rsid w:val="00EA34CA"/>
    <w:rsid w:val="00EA36AA"/>
    <w:rsid w:val="00EB2F96"/>
    <w:rsid w:val="00EC69E8"/>
    <w:rsid w:val="00EC72B1"/>
    <w:rsid w:val="00EC7F78"/>
    <w:rsid w:val="00EE7A9F"/>
    <w:rsid w:val="00EF5441"/>
    <w:rsid w:val="00F00774"/>
    <w:rsid w:val="00F16446"/>
    <w:rsid w:val="00F22D52"/>
    <w:rsid w:val="00F3661F"/>
    <w:rsid w:val="00F3670F"/>
    <w:rsid w:val="00F4463F"/>
    <w:rsid w:val="00F750B0"/>
    <w:rsid w:val="00F75ED1"/>
    <w:rsid w:val="00F807C7"/>
    <w:rsid w:val="00F80C10"/>
    <w:rsid w:val="00F810D1"/>
    <w:rsid w:val="00F92889"/>
    <w:rsid w:val="00F93BF3"/>
    <w:rsid w:val="00F93EE3"/>
    <w:rsid w:val="00F94114"/>
    <w:rsid w:val="00FA0225"/>
    <w:rsid w:val="00FA322B"/>
    <w:rsid w:val="00FA530D"/>
    <w:rsid w:val="00FA7E03"/>
    <w:rsid w:val="00FB1CE7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4F6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4F66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2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C209D-5FB3-4165-9D6A-36F76C967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3804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2</cp:revision>
  <cp:lastPrinted>2026-05-14T14:13:00Z</cp:lastPrinted>
  <dcterms:created xsi:type="dcterms:W3CDTF">2026-05-15T14:40:00Z</dcterms:created>
  <dcterms:modified xsi:type="dcterms:W3CDTF">2026-05-15T14:40:00Z</dcterms:modified>
</cp:coreProperties>
</file>