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1A02F9B5" w14:textId="66DD3341" w:rsidR="00A345D2" w:rsidRPr="003D343E" w:rsidRDefault="003D343E" w:rsidP="00895CB6">
      <w:pPr>
        <w:jc w:val="center"/>
        <w:rPr>
          <w:rFonts w:ascii="Century Gothic" w:hAnsi="Century Gothic"/>
          <w:b/>
          <w:bCs/>
          <w:kern w:val="2"/>
          <w:sz w:val="28"/>
          <w:szCs w:val="28"/>
        </w:rPr>
      </w:pPr>
      <w:r w:rsidRPr="003D343E">
        <w:rPr>
          <w:rFonts w:ascii="Century Gothic" w:hAnsi="Century Gothic"/>
          <w:b/>
          <w:bCs/>
          <w:kern w:val="2"/>
          <w:sz w:val="28"/>
          <w:szCs w:val="28"/>
        </w:rPr>
        <w:t xml:space="preserve">Open day </w:t>
      </w:r>
      <w:proofErr w:type="spellStart"/>
      <w:r w:rsidR="00E0033F">
        <w:rPr>
          <w:rFonts w:ascii="Century Gothic" w:hAnsi="Century Gothic"/>
          <w:b/>
          <w:bCs/>
          <w:kern w:val="2"/>
          <w:sz w:val="28"/>
          <w:szCs w:val="28"/>
        </w:rPr>
        <w:t>E</w:t>
      </w:r>
      <w:r w:rsidRPr="003D343E">
        <w:rPr>
          <w:rFonts w:ascii="Century Gothic" w:hAnsi="Century Gothic"/>
          <w:b/>
          <w:bCs/>
          <w:kern w:val="2"/>
          <w:sz w:val="28"/>
          <w:szCs w:val="28"/>
        </w:rPr>
        <w:t>mocromatosi</w:t>
      </w:r>
      <w:proofErr w:type="spellEnd"/>
      <w:r w:rsidRPr="003D343E">
        <w:rPr>
          <w:rFonts w:ascii="Century Gothic" w:hAnsi="Century Gothic"/>
          <w:b/>
          <w:bCs/>
          <w:kern w:val="2"/>
          <w:sz w:val="28"/>
          <w:szCs w:val="28"/>
        </w:rPr>
        <w:t xml:space="preserve"> con visite gratuite in </w:t>
      </w:r>
      <w:proofErr w:type="spellStart"/>
      <w:r w:rsidRPr="003D343E">
        <w:rPr>
          <w:rFonts w:ascii="Century Gothic" w:hAnsi="Century Gothic"/>
          <w:b/>
          <w:bCs/>
          <w:kern w:val="2"/>
          <w:sz w:val="28"/>
          <w:szCs w:val="28"/>
        </w:rPr>
        <w:t>Aoui</w:t>
      </w:r>
      <w:proofErr w:type="spellEnd"/>
    </w:p>
    <w:p w14:paraId="5B840491" w14:textId="77777777" w:rsidR="00B6215F" w:rsidRPr="003D343E" w:rsidRDefault="00B6215F" w:rsidP="00B6215F">
      <w:pPr>
        <w:jc w:val="center"/>
      </w:pPr>
    </w:p>
    <w:p w14:paraId="63974203" w14:textId="397AEC7D" w:rsidR="00E57256" w:rsidRDefault="00BF5430" w:rsidP="00895CB6">
      <w:pPr>
        <w:jc w:val="center"/>
      </w:pPr>
      <w:r>
        <w:rPr>
          <w:rFonts w:ascii="Century Gothic" w:hAnsi="Century Gothic"/>
          <w:b/>
          <w:sz w:val="28"/>
          <w:szCs w:val="28"/>
        </w:rPr>
        <w:t>Diagnosi precoce</w:t>
      </w:r>
      <w:r w:rsidR="003D343E">
        <w:rPr>
          <w:rFonts w:ascii="Century Gothic" w:hAnsi="Century Gothic"/>
          <w:b/>
          <w:sz w:val="28"/>
          <w:szCs w:val="28"/>
        </w:rPr>
        <w:t xml:space="preserve"> per una patologia genetica </w:t>
      </w:r>
      <w:proofErr w:type="spellStart"/>
      <w:r w:rsidR="003D343E">
        <w:rPr>
          <w:rFonts w:ascii="Century Gothic" w:hAnsi="Century Gothic"/>
          <w:b/>
          <w:sz w:val="28"/>
          <w:szCs w:val="28"/>
        </w:rPr>
        <w:t>sotto</w:t>
      </w:r>
      <w:bookmarkStart w:id="0" w:name="_GoBack"/>
      <w:bookmarkEnd w:id="0"/>
      <w:r w:rsidR="003D343E">
        <w:rPr>
          <w:rFonts w:ascii="Century Gothic" w:hAnsi="Century Gothic"/>
          <w:b/>
          <w:sz w:val="28"/>
          <w:szCs w:val="28"/>
        </w:rPr>
        <w:t>diagnosticata</w:t>
      </w:r>
      <w:proofErr w:type="spellEnd"/>
    </w:p>
    <w:p w14:paraId="3CCC54B7" w14:textId="77777777" w:rsidR="00E57256" w:rsidRDefault="00E57256" w:rsidP="00E57256"/>
    <w:p w14:paraId="559AD7C6" w14:textId="77777777" w:rsidR="00895CB6" w:rsidRDefault="00895CB6" w:rsidP="00541E00">
      <w:pPr>
        <w:ind w:right="-35"/>
        <w:jc w:val="both"/>
        <w:rPr>
          <w:rFonts w:ascii="Century Gothic" w:hAnsi="Century Gothic" w:cs="Century Gothic"/>
          <w:kern w:val="2"/>
          <w:sz w:val="24"/>
          <w:szCs w:val="24"/>
        </w:rPr>
      </w:pPr>
    </w:p>
    <w:p w14:paraId="36082373" w14:textId="2939510F" w:rsidR="00541E00" w:rsidRPr="005C6DC8" w:rsidRDefault="00E57256" w:rsidP="00541E00">
      <w:pPr>
        <w:ind w:right="-35"/>
        <w:jc w:val="both"/>
        <w:rPr>
          <w:rFonts w:ascii="Century Gothic" w:hAnsi="Century Gothic" w:cs="Century Gothic"/>
          <w:kern w:val="2"/>
          <w:sz w:val="24"/>
          <w:szCs w:val="24"/>
        </w:rPr>
      </w:pPr>
      <w:r w:rsidRPr="009D4DB4">
        <w:rPr>
          <w:rFonts w:ascii="Century Gothic" w:hAnsi="Century Gothic" w:cs="Century Gothic"/>
          <w:kern w:val="2"/>
          <w:sz w:val="24"/>
          <w:szCs w:val="24"/>
        </w:rPr>
        <w:t>Verona,</w:t>
      </w:r>
      <w:r w:rsidR="00E7016A">
        <w:rPr>
          <w:rFonts w:ascii="Century Gothic" w:hAnsi="Century Gothic" w:cs="Century Gothic"/>
          <w:kern w:val="2"/>
          <w:sz w:val="24"/>
          <w:szCs w:val="24"/>
        </w:rPr>
        <w:t xml:space="preserve"> </w:t>
      </w:r>
      <w:proofErr w:type="gramStart"/>
      <w:r w:rsidR="007E27AA">
        <w:rPr>
          <w:rFonts w:ascii="Century Gothic" w:hAnsi="Century Gothic" w:cs="Century Gothic"/>
          <w:kern w:val="2"/>
          <w:sz w:val="24"/>
          <w:szCs w:val="24"/>
        </w:rPr>
        <w:t>1 giugno</w:t>
      </w:r>
      <w:proofErr w:type="gramEnd"/>
      <w:r w:rsidR="00B30658">
        <w:rPr>
          <w:rFonts w:ascii="Century Gothic" w:hAnsi="Century Gothic" w:cs="Century Gothic"/>
          <w:kern w:val="2"/>
          <w:sz w:val="24"/>
          <w:szCs w:val="24"/>
        </w:rPr>
        <w:t xml:space="preserve"> </w:t>
      </w:r>
      <w:r w:rsidR="00131B5A">
        <w:rPr>
          <w:rFonts w:ascii="Century Gothic" w:hAnsi="Century Gothic" w:cs="Century Gothic"/>
          <w:kern w:val="2"/>
          <w:sz w:val="24"/>
          <w:szCs w:val="24"/>
        </w:rPr>
        <w:t>202</w:t>
      </w:r>
      <w:r>
        <w:rPr>
          <w:rFonts w:ascii="Century Gothic" w:hAnsi="Century Gothic" w:cs="Century Gothic"/>
          <w:kern w:val="2"/>
          <w:sz w:val="24"/>
          <w:szCs w:val="24"/>
        </w:rPr>
        <w:t>6</w:t>
      </w:r>
    </w:p>
    <w:p w14:paraId="26EF4046" w14:textId="77777777" w:rsidR="00541E00" w:rsidRDefault="00541E00" w:rsidP="00541E00">
      <w:pPr>
        <w:ind w:right="-35"/>
        <w:jc w:val="both"/>
        <w:rPr>
          <w:rFonts w:ascii="Century Gothic" w:hAnsi="Century Gothic"/>
          <w:sz w:val="24"/>
          <w:szCs w:val="24"/>
        </w:rPr>
      </w:pPr>
    </w:p>
    <w:p w14:paraId="33FA925D" w14:textId="03F1A021" w:rsidR="00E0033F" w:rsidRDefault="00E0033F" w:rsidP="00E0033F">
      <w:pPr>
        <w:ind w:right="-35"/>
        <w:jc w:val="both"/>
        <w:rPr>
          <w:rFonts w:ascii="Century Gothic" w:eastAsia="Calibri" w:hAnsi="Century Gothic"/>
          <w:kern w:val="2"/>
          <w:sz w:val="24"/>
          <w:szCs w:val="24"/>
          <w:lang w:eastAsia="en-US"/>
        </w:rPr>
      </w:pPr>
      <w:r>
        <w:rPr>
          <w:rFonts w:ascii="Century Gothic" w:eastAsia="Calibri" w:hAnsi="Century Gothic"/>
          <w:kern w:val="2"/>
          <w:sz w:val="24"/>
          <w:szCs w:val="24"/>
          <w:lang w:eastAsia="en-US"/>
        </w:rPr>
        <w:t>O</w:t>
      </w:r>
      <w:r w:rsidR="00F5584E">
        <w:rPr>
          <w:rFonts w:ascii="Century Gothic" w:eastAsia="Calibri" w:hAnsi="Century Gothic"/>
          <w:kern w:val="2"/>
          <w:sz w:val="24"/>
          <w:szCs w:val="24"/>
          <w:lang w:eastAsia="en-US"/>
        </w:rPr>
        <w:t xml:space="preserve">pen day </w:t>
      </w:r>
      <w:r w:rsidR="00C21605">
        <w:rPr>
          <w:rFonts w:ascii="Century Gothic" w:eastAsia="Calibri" w:hAnsi="Century Gothic"/>
          <w:kern w:val="2"/>
          <w:sz w:val="24"/>
          <w:szCs w:val="24"/>
          <w:lang w:eastAsia="en-US"/>
        </w:rPr>
        <w:t xml:space="preserve">al </w:t>
      </w:r>
      <w:r>
        <w:rPr>
          <w:rFonts w:ascii="Century Gothic" w:eastAsia="Calibri" w:hAnsi="Century Gothic"/>
          <w:kern w:val="2"/>
          <w:sz w:val="24"/>
          <w:szCs w:val="24"/>
          <w:lang w:eastAsia="en-US"/>
        </w:rPr>
        <w:t>p</w:t>
      </w:r>
      <w:r w:rsidR="00C21605">
        <w:rPr>
          <w:rFonts w:ascii="Century Gothic" w:eastAsia="Calibri" w:hAnsi="Century Gothic"/>
          <w:kern w:val="2"/>
          <w:sz w:val="24"/>
          <w:szCs w:val="24"/>
          <w:lang w:eastAsia="en-US"/>
        </w:rPr>
        <w:t xml:space="preserve">oliclinico di Borgo Roma </w:t>
      </w:r>
      <w:r>
        <w:rPr>
          <w:rFonts w:ascii="Century Gothic" w:eastAsia="Calibri" w:hAnsi="Century Gothic"/>
          <w:kern w:val="2"/>
          <w:sz w:val="24"/>
          <w:szCs w:val="24"/>
          <w:lang w:eastAsia="en-US"/>
        </w:rPr>
        <w:t>m</w:t>
      </w:r>
      <w:r w:rsidRPr="00E0033F">
        <w:rPr>
          <w:rFonts w:ascii="Century Gothic" w:eastAsia="Calibri" w:hAnsi="Century Gothic"/>
          <w:kern w:val="2"/>
          <w:sz w:val="24"/>
          <w:szCs w:val="24"/>
          <w:lang w:eastAsia="en-US"/>
        </w:rPr>
        <w:t xml:space="preserve">ercoledì 3 giugno </w:t>
      </w:r>
      <w:r w:rsidR="00F5584E">
        <w:rPr>
          <w:rFonts w:ascii="Century Gothic" w:eastAsia="Calibri" w:hAnsi="Century Gothic"/>
          <w:kern w:val="2"/>
          <w:sz w:val="24"/>
          <w:szCs w:val="24"/>
          <w:lang w:eastAsia="en-US"/>
        </w:rPr>
        <w:t>per la prevenzione dell’</w:t>
      </w:r>
      <w:proofErr w:type="spellStart"/>
      <w:r w:rsidR="007E27AA">
        <w:rPr>
          <w:rFonts w:ascii="Century Gothic" w:eastAsia="Calibri" w:hAnsi="Century Gothic"/>
          <w:kern w:val="2"/>
          <w:sz w:val="24"/>
          <w:szCs w:val="24"/>
          <w:lang w:eastAsia="en-US"/>
        </w:rPr>
        <w:t>E</w:t>
      </w:r>
      <w:r w:rsidR="00F5584E">
        <w:rPr>
          <w:rFonts w:ascii="Century Gothic" w:eastAsia="Calibri" w:hAnsi="Century Gothic"/>
          <w:kern w:val="2"/>
          <w:sz w:val="24"/>
          <w:szCs w:val="24"/>
          <w:lang w:eastAsia="en-US"/>
        </w:rPr>
        <w:t>mocromatosi</w:t>
      </w:r>
      <w:proofErr w:type="spellEnd"/>
      <w:r>
        <w:rPr>
          <w:rFonts w:ascii="Century Gothic" w:eastAsia="Calibri" w:hAnsi="Century Gothic"/>
          <w:kern w:val="2"/>
          <w:sz w:val="24"/>
          <w:szCs w:val="24"/>
          <w:lang w:eastAsia="en-US"/>
        </w:rPr>
        <w:t>, una</w:t>
      </w:r>
      <w:r w:rsidRPr="00E0033F">
        <w:rPr>
          <w:rFonts w:ascii="Century Gothic" w:eastAsia="Calibri" w:hAnsi="Century Gothic"/>
          <w:kern w:val="2"/>
          <w:sz w:val="24"/>
          <w:szCs w:val="24"/>
          <w:lang w:eastAsia="en-US"/>
        </w:rPr>
        <w:t xml:space="preserve"> patologia genetica rara ancora </w:t>
      </w:r>
      <w:proofErr w:type="spellStart"/>
      <w:r w:rsidRPr="00E0033F">
        <w:rPr>
          <w:rFonts w:ascii="Century Gothic" w:eastAsia="Calibri" w:hAnsi="Century Gothic"/>
          <w:kern w:val="2"/>
          <w:sz w:val="24"/>
          <w:szCs w:val="24"/>
          <w:lang w:eastAsia="en-US"/>
        </w:rPr>
        <w:t>sottodiagnosticata</w:t>
      </w:r>
      <w:proofErr w:type="spellEnd"/>
      <w:r w:rsidRPr="00E0033F">
        <w:rPr>
          <w:rFonts w:ascii="Century Gothic" w:eastAsia="Calibri" w:hAnsi="Century Gothic"/>
          <w:kern w:val="2"/>
          <w:sz w:val="24"/>
          <w:szCs w:val="24"/>
          <w:lang w:eastAsia="en-US"/>
        </w:rPr>
        <w:t xml:space="preserve"> che può essere potenzialmente controllata se diagnosticata precocemente.</w:t>
      </w:r>
      <w:r>
        <w:rPr>
          <w:rFonts w:ascii="Century Gothic" w:eastAsia="Calibri" w:hAnsi="Century Gothic"/>
          <w:kern w:val="2"/>
          <w:sz w:val="24"/>
          <w:szCs w:val="24"/>
          <w:lang w:eastAsia="en-US"/>
        </w:rPr>
        <w:t xml:space="preserve"> Quest</w:t>
      </w:r>
      <w:r w:rsidRPr="00E0033F">
        <w:rPr>
          <w:rFonts w:ascii="Century Gothic" w:eastAsia="Calibri" w:hAnsi="Century Gothic"/>
          <w:kern w:val="2"/>
          <w:sz w:val="24"/>
          <w:szCs w:val="24"/>
          <w:lang w:eastAsia="en-US"/>
        </w:rPr>
        <w:t>a malattia ereditaria è causata da un difetto genetico che altera la produzione di epcidina, l’ormone fondamentale per il metabolismo del ferro. Un eccessivo accumulo di ferro nell’organismo può causare danni a fegato, pancreas, cuore, articolazioni e ghiandole endocrine.</w:t>
      </w:r>
    </w:p>
    <w:p w14:paraId="4AA8323F" w14:textId="2CB4ED26" w:rsidR="00E0033F" w:rsidRPr="00E0033F" w:rsidRDefault="00E0033F" w:rsidP="00E0033F">
      <w:pPr>
        <w:ind w:right="-35"/>
        <w:jc w:val="both"/>
        <w:rPr>
          <w:rFonts w:ascii="Century Gothic" w:eastAsia="Calibri" w:hAnsi="Century Gothic"/>
          <w:kern w:val="2"/>
          <w:sz w:val="24"/>
          <w:szCs w:val="24"/>
          <w:lang w:eastAsia="en-US"/>
        </w:rPr>
      </w:pPr>
      <w:r w:rsidRPr="00E0033F">
        <w:rPr>
          <w:rFonts w:ascii="Century Gothic" w:eastAsia="Calibri" w:hAnsi="Century Gothic"/>
          <w:kern w:val="2"/>
          <w:sz w:val="24"/>
          <w:szCs w:val="24"/>
          <w:lang w:eastAsia="en-US"/>
        </w:rPr>
        <w:t xml:space="preserve"> </w:t>
      </w:r>
    </w:p>
    <w:p w14:paraId="1C00B362" w14:textId="0E4EEB22" w:rsidR="00C04BDD" w:rsidRDefault="00E0033F" w:rsidP="00E0033F">
      <w:pPr>
        <w:ind w:right="-35"/>
        <w:jc w:val="both"/>
        <w:rPr>
          <w:rFonts w:ascii="Century Gothic" w:eastAsia="Calibri" w:hAnsi="Century Gothic"/>
          <w:kern w:val="2"/>
          <w:sz w:val="24"/>
          <w:szCs w:val="24"/>
          <w:lang w:eastAsia="en-US"/>
        </w:rPr>
      </w:pPr>
      <w:r>
        <w:rPr>
          <w:rFonts w:ascii="Century Gothic" w:eastAsia="Calibri" w:hAnsi="Century Gothic"/>
          <w:kern w:val="2"/>
          <w:sz w:val="24"/>
          <w:szCs w:val="24"/>
          <w:lang w:eastAsia="en-US"/>
        </w:rPr>
        <w:t>Le</w:t>
      </w:r>
      <w:r w:rsidRPr="00E0033F">
        <w:rPr>
          <w:rFonts w:ascii="Century Gothic" w:eastAsia="Calibri" w:hAnsi="Century Gothic"/>
          <w:kern w:val="2"/>
          <w:sz w:val="24"/>
          <w:szCs w:val="24"/>
          <w:lang w:eastAsia="en-US"/>
        </w:rPr>
        <w:t xml:space="preserve"> visite gratuite </w:t>
      </w:r>
      <w:r w:rsidR="00F5584E">
        <w:rPr>
          <w:rFonts w:ascii="Century Gothic" w:eastAsia="Calibri" w:hAnsi="Century Gothic"/>
          <w:kern w:val="2"/>
          <w:sz w:val="24"/>
          <w:szCs w:val="24"/>
          <w:lang w:eastAsia="en-US"/>
        </w:rPr>
        <w:t>rivolte ai cittadini</w:t>
      </w:r>
      <w:r>
        <w:rPr>
          <w:rFonts w:ascii="Century Gothic" w:eastAsia="Calibri" w:hAnsi="Century Gothic"/>
          <w:kern w:val="2"/>
          <w:sz w:val="24"/>
          <w:szCs w:val="24"/>
          <w:lang w:eastAsia="en-US"/>
        </w:rPr>
        <w:t xml:space="preserve">, </w:t>
      </w:r>
      <w:r w:rsidR="003D343E">
        <w:rPr>
          <w:rFonts w:ascii="Century Gothic" w:eastAsia="Calibri" w:hAnsi="Century Gothic"/>
          <w:kern w:val="2"/>
          <w:sz w:val="24"/>
          <w:szCs w:val="24"/>
          <w:lang w:eastAsia="en-US"/>
        </w:rPr>
        <w:t xml:space="preserve">in occasione della </w:t>
      </w:r>
      <w:r>
        <w:rPr>
          <w:rFonts w:ascii="Century Gothic" w:eastAsia="Calibri" w:hAnsi="Century Gothic"/>
          <w:kern w:val="2"/>
          <w:sz w:val="24"/>
          <w:szCs w:val="24"/>
          <w:lang w:eastAsia="en-US"/>
        </w:rPr>
        <w:t>S</w:t>
      </w:r>
      <w:r w:rsidR="003D343E">
        <w:rPr>
          <w:rFonts w:ascii="Century Gothic" w:eastAsia="Calibri" w:hAnsi="Century Gothic"/>
          <w:kern w:val="2"/>
          <w:sz w:val="24"/>
          <w:szCs w:val="24"/>
          <w:lang w:eastAsia="en-US"/>
        </w:rPr>
        <w:t xml:space="preserve">ettimana europea </w:t>
      </w:r>
      <w:r>
        <w:rPr>
          <w:rFonts w:ascii="Century Gothic" w:eastAsia="Calibri" w:hAnsi="Century Gothic"/>
          <w:kern w:val="2"/>
          <w:sz w:val="24"/>
          <w:szCs w:val="24"/>
          <w:lang w:eastAsia="en-US"/>
        </w:rPr>
        <w:t>dell’</w:t>
      </w:r>
      <w:proofErr w:type="spellStart"/>
      <w:r>
        <w:rPr>
          <w:rFonts w:ascii="Century Gothic" w:eastAsia="Calibri" w:hAnsi="Century Gothic"/>
          <w:kern w:val="2"/>
          <w:sz w:val="24"/>
          <w:szCs w:val="24"/>
          <w:lang w:eastAsia="en-US"/>
        </w:rPr>
        <w:t>Emocromatosi</w:t>
      </w:r>
      <w:proofErr w:type="spellEnd"/>
      <w:r>
        <w:rPr>
          <w:rFonts w:ascii="Century Gothic" w:eastAsia="Calibri" w:hAnsi="Century Gothic"/>
          <w:kern w:val="2"/>
          <w:sz w:val="24"/>
          <w:szCs w:val="24"/>
          <w:lang w:eastAsia="en-US"/>
        </w:rPr>
        <w:t xml:space="preserve">, sono organizzate </w:t>
      </w:r>
      <w:r w:rsidRPr="00E0033F">
        <w:rPr>
          <w:rFonts w:ascii="Century Gothic" w:eastAsia="Calibri" w:hAnsi="Century Gothic"/>
          <w:kern w:val="2"/>
          <w:sz w:val="24"/>
          <w:szCs w:val="24"/>
          <w:lang w:eastAsia="en-US"/>
        </w:rPr>
        <w:t>d</w:t>
      </w:r>
      <w:r>
        <w:rPr>
          <w:rFonts w:ascii="Century Gothic" w:eastAsia="Calibri" w:hAnsi="Century Gothic"/>
          <w:kern w:val="2"/>
          <w:sz w:val="24"/>
          <w:szCs w:val="24"/>
          <w:lang w:eastAsia="en-US"/>
        </w:rPr>
        <w:t>a</w:t>
      </w:r>
      <w:r w:rsidRPr="00E0033F">
        <w:rPr>
          <w:rFonts w:ascii="Century Gothic" w:eastAsia="Calibri" w:hAnsi="Century Gothic"/>
          <w:kern w:val="2"/>
          <w:sz w:val="24"/>
          <w:szCs w:val="24"/>
          <w:lang w:eastAsia="en-US"/>
        </w:rPr>
        <w:t>ll’</w:t>
      </w:r>
      <w:proofErr w:type="spellStart"/>
      <w:r w:rsidRPr="00E0033F">
        <w:rPr>
          <w:rFonts w:ascii="Century Gothic" w:eastAsia="Calibri" w:hAnsi="Century Gothic"/>
          <w:kern w:val="2"/>
          <w:sz w:val="24"/>
          <w:szCs w:val="24"/>
          <w:lang w:eastAsia="en-US"/>
        </w:rPr>
        <w:t>Uoc</w:t>
      </w:r>
      <w:proofErr w:type="spellEnd"/>
      <w:r w:rsidRPr="00E0033F">
        <w:rPr>
          <w:rFonts w:ascii="Century Gothic" w:eastAsia="Calibri" w:hAnsi="Century Gothic"/>
          <w:kern w:val="2"/>
          <w:sz w:val="24"/>
          <w:szCs w:val="24"/>
          <w:lang w:eastAsia="en-US"/>
        </w:rPr>
        <w:t xml:space="preserve"> Medicina d’urgenza</w:t>
      </w:r>
      <w:r>
        <w:rPr>
          <w:rFonts w:ascii="Century Gothic" w:eastAsia="Calibri" w:hAnsi="Century Gothic"/>
          <w:kern w:val="2"/>
          <w:sz w:val="24"/>
          <w:szCs w:val="24"/>
          <w:lang w:eastAsia="en-US"/>
        </w:rPr>
        <w:t xml:space="preserve">, diretta dal prof Domenico Girelli. </w:t>
      </w:r>
      <w:r w:rsidR="00C21605">
        <w:rPr>
          <w:rFonts w:ascii="Century Gothic" w:eastAsia="Calibri" w:hAnsi="Century Gothic"/>
          <w:kern w:val="2"/>
          <w:sz w:val="24"/>
          <w:szCs w:val="24"/>
          <w:lang w:eastAsia="en-US"/>
        </w:rPr>
        <w:t>La prenotazione è obbligatoria</w:t>
      </w:r>
      <w:r>
        <w:rPr>
          <w:rFonts w:ascii="Century Gothic" w:eastAsia="Calibri" w:hAnsi="Century Gothic"/>
          <w:kern w:val="2"/>
          <w:sz w:val="24"/>
          <w:szCs w:val="24"/>
          <w:lang w:eastAsia="en-US"/>
        </w:rPr>
        <w:t xml:space="preserve">, </w:t>
      </w:r>
      <w:r w:rsidR="00C21605">
        <w:rPr>
          <w:rFonts w:ascii="Century Gothic" w:eastAsia="Calibri" w:hAnsi="Century Gothic"/>
          <w:kern w:val="2"/>
          <w:sz w:val="24"/>
          <w:szCs w:val="24"/>
          <w:lang w:eastAsia="en-US"/>
        </w:rPr>
        <w:t>contattando la segreteria al numero 045</w:t>
      </w:r>
      <w:r>
        <w:rPr>
          <w:rFonts w:ascii="Century Gothic" w:eastAsia="Calibri" w:hAnsi="Century Gothic"/>
          <w:kern w:val="2"/>
          <w:sz w:val="24"/>
          <w:szCs w:val="24"/>
          <w:lang w:eastAsia="en-US"/>
        </w:rPr>
        <w:t>/</w:t>
      </w:r>
      <w:r w:rsidR="00C21605">
        <w:rPr>
          <w:rFonts w:ascii="Century Gothic" w:eastAsia="Calibri" w:hAnsi="Century Gothic"/>
          <w:kern w:val="2"/>
          <w:sz w:val="24"/>
          <w:szCs w:val="24"/>
          <w:lang w:eastAsia="en-US"/>
        </w:rPr>
        <w:t xml:space="preserve">8124262. </w:t>
      </w:r>
    </w:p>
    <w:p w14:paraId="049F3A6B" w14:textId="77777777" w:rsidR="00E0033F" w:rsidRDefault="00E0033F" w:rsidP="00E0033F">
      <w:pPr>
        <w:ind w:right="-35"/>
        <w:jc w:val="both"/>
        <w:rPr>
          <w:rFonts w:ascii="Century Gothic" w:eastAsia="Calibri" w:hAnsi="Century Gothic"/>
          <w:kern w:val="2"/>
          <w:sz w:val="24"/>
          <w:szCs w:val="24"/>
          <w:lang w:eastAsia="en-US"/>
        </w:rPr>
      </w:pPr>
    </w:p>
    <w:p w14:paraId="13D282A5" w14:textId="3C1546FF" w:rsidR="00C04BDD" w:rsidRDefault="00C21605" w:rsidP="00E7016A">
      <w:pPr>
        <w:suppressAutoHyphens w:val="0"/>
        <w:spacing w:line="256" w:lineRule="auto"/>
        <w:jc w:val="both"/>
        <w:rPr>
          <w:rFonts w:ascii="Century Gothic" w:eastAsia="Calibri" w:hAnsi="Century Gothic"/>
          <w:kern w:val="2"/>
          <w:sz w:val="24"/>
          <w:szCs w:val="24"/>
          <w:lang w:eastAsia="en-US"/>
        </w:rPr>
      </w:pPr>
      <w:r>
        <w:rPr>
          <w:rFonts w:ascii="Century Gothic" w:eastAsia="Calibri" w:hAnsi="Century Gothic"/>
          <w:b/>
          <w:bCs/>
          <w:kern w:val="2"/>
          <w:sz w:val="24"/>
          <w:szCs w:val="24"/>
          <w:lang w:eastAsia="en-US"/>
        </w:rPr>
        <w:t xml:space="preserve">Centro </w:t>
      </w:r>
      <w:proofErr w:type="spellStart"/>
      <w:r>
        <w:rPr>
          <w:rFonts w:ascii="Century Gothic" w:eastAsia="Calibri" w:hAnsi="Century Gothic"/>
          <w:b/>
          <w:bCs/>
          <w:kern w:val="2"/>
          <w:sz w:val="24"/>
          <w:szCs w:val="24"/>
          <w:lang w:eastAsia="en-US"/>
        </w:rPr>
        <w:t>Aoui</w:t>
      </w:r>
      <w:proofErr w:type="spellEnd"/>
      <w:r>
        <w:rPr>
          <w:rFonts w:ascii="Century Gothic" w:eastAsia="Calibri" w:hAnsi="Century Gothic"/>
          <w:b/>
          <w:bCs/>
          <w:kern w:val="2"/>
          <w:sz w:val="24"/>
          <w:szCs w:val="24"/>
          <w:lang w:eastAsia="en-US"/>
        </w:rPr>
        <w:t xml:space="preserve"> </w:t>
      </w:r>
      <w:r w:rsidR="00AF743B">
        <w:rPr>
          <w:rFonts w:ascii="Century Gothic" w:eastAsia="Calibri" w:hAnsi="Century Gothic"/>
          <w:b/>
          <w:bCs/>
          <w:kern w:val="2"/>
          <w:sz w:val="24"/>
          <w:szCs w:val="24"/>
          <w:lang w:eastAsia="en-US"/>
        </w:rPr>
        <w:t xml:space="preserve">per </w:t>
      </w:r>
      <w:proofErr w:type="spellStart"/>
      <w:r w:rsidR="00BA27F9">
        <w:rPr>
          <w:rFonts w:ascii="Century Gothic" w:eastAsia="Calibri" w:hAnsi="Century Gothic"/>
          <w:b/>
          <w:bCs/>
          <w:kern w:val="2"/>
          <w:sz w:val="24"/>
          <w:szCs w:val="24"/>
          <w:lang w:eastAsia="en-US"/>
        </w:rPr>
        <w:t>E</w:t>
      </w:r>
      <w:r w:rsidR="00AF743B">
        <w:rPr>
          <w:rFonts w:ascii="Century Gothic" w:eastAsia="Calibri" w:hAnsi="Century Gothic"/>
          <w:b/>
          <w:bCs/>
          <w:kern w:val="2"/>
          <w:sz w:val="24"/>
          <w:szCs w:val="24"/>
          <w:lang w:eastAsia="en-US"/>
        </w:rPr>
        <w:t>mocromatosi</w:t>
      </w:r>
      <w:proofErr w:type="spellEnd"/>
      <w:r w:rsidR="00C04BDD">
        <w:rPr>
          <w:rFonts w:ascii="Century Gothic" w:eastAsia="Calibri" w:hAnsi="Century Gothic"/>
          <w:kern w:val="2"/>
          <w:sz w:val="24"/>
          <w:szCs w:val="24"/>
          <w:lang w:eastAsia="en-US"/>
        </w:rPr>
        <w:t xml:space="preserve">. </w:t>
      </w:r>
      <w:r w:rsidR="00A538D6">
        <w:rPr>
          <w:rFonts w:ascii="Century Gothic" w:eastAsia="Calibri" w:hAnsi="Century Gothic"/>
          <w:kern w:val="2"/>
          <w:sz w:val="24"/>
          <w:szCs w:val="24"/>
          <w:lang w:eastAsia="en-US"/>
        </w:rPr>
        <w:t xml:space="preserve">In </w:t>
      </w:r>
      <w:proofErr w:type="spellStart"/>
      <w:r w:rsidR="00A538D6">
        <w:rPr>
          <w:rFonts w:ascii="Century Gothic" w:eastAsia="Calibri" w:hAnsi="Century Gothic"/>
          <w:kern w:val="2"/>
          <w:sz w:val="24"/>
          <w:szCs w:val="24"/>
          <w:lang w:eastAsia="en-US"/>
        </w:rPr>
        <w:t>Aoui</w:t>
      </w:r>
      <w:proofErr w:type="spellEnd"/>
      <w:r w:rsidR="00A538D6">
        <w:rPr>
          <w:rFonts w:ascii="Century Gothic" w:eastAsia="Calibri" w:hAnsi="Century Gothic"/>
          <w:kern w:val="2"/>
          <w:sz w:val="24"/>
          <w:szCs w:val="24"/>
          <w:lang w:eastAsia="en-US"/>
        </w:rPr>
        <w:t xml:space="preserve"> da oltre vent’anni il Centro medico dedicato alle malattie del metabolismo del ferro</w:t>
      </w:r>
      <w:r w:rsidR="00E0033F">
        <w:rPr>
          <w:rFonts w:ascii="Century Gothic" w:eastAsia="Calibri" w:hAnsi="Century Gothic"/>
          <w:kern w:val="2"/>
          <w:sz w:val="24"/>
          <w:szCs w:val="24"/>
          <w:lang w:eastAsia="en-US"/>
        </w:rPr>
        <w:t>,</w:t>
      </w:r>
      <w:r w:rsidR="00A538D6">
        <w:rPr>
          <w:rFonts w:ascii="Century Gothic" w:eastAsia="Calibri" w:hAnsi="Century Gothic"/>
          <w:kern w:val="2"/>
          <w:sz w:val="24"/>
          <w:szCs w:val="24"/>
          <w:lang w:eastAsia="en-US"/>
        </w:rPr>
        <w:t xml:space="preserve"> diretto dal prof Girelli</w:t>
      </w:r>
      <w:r w:rsidR="00E0033F">
        <w:rPr>
          <w:rFonts w:ascii="Century Gothic" w:eastAsia="Calibri" w:hAnsi="Century Gothic"/>
          <w:kern w:val="2"/>
          <w:sz w:val="24"/>
          <w:szCs w:val="24"/>
          <w:lang w:eastAsia="en-US"/>
        </w:rPr>
        <w:t>,</w:t>
      </w:r>
      <w:r w:rsidR="00A538D6">
        <w:rPr>
          <w:rFonts w:ascii="Century Gothic" w:eastAsia="Calibri" w:hAnsi="Century Gothic"/>
          <w:kern w:val="2"/>
          <w:sz w:val="24"/>
          <w:szCs w:val="24"/>
          <w:lang w:eastAsia="en-US"/>
        </w:rPr>
        <w:t xml:space="preserve"> si occupa di diagnosi e gestione di pazienti con </w:t>
      </w:r>
      <w:proofErr w:type="spellStart"/>
      <w:r w:rsidR="00E0033F">
        <w:rPr>
          <w:rFonts w:ascii="Century Gothic" w:eastAsia="Calibri" w:hAnsi="Century Gothic"/>
          <w:kern w:val="2"/>
          <w:sz w:val="24"/>
          <w:szCs w:val="24"/>
          <w:lang w:eastAsia="en-US"/>
        </w:rPr>
        <w:t>E</w:t>
      </w:r>
      <w:r w:rsidR="00A538D6">
        <w:rPr>
          <w:rFonts w:ascii="Century Gothic" w:eastAsia="Calibri" w:hAnsi="Century Gothic"/>
          <w:kern w:val="2"/>
          <w:sz w:val="24"/>
          <w:szCs w:val="24"/>
          <w:lang w:eastAsia="en-US"/>
        </w:rPr>
        <w:t>mocromatosi</w:t>
      </w:r>
      <w:proofErr w:type="spellEnd"/>
      <w:r w:rsidR="00A538D6">
        <w:rPr>
          <w:rFonts w:ascii="Century Gothic" w:eastAsia="Calibri" w:hAnsi="Century Gothic"/>
          <w:kern w:val="2"/>
          <w:sz w:val="24"/>
          <w:szCs w:val="24"/>
          <w:lang w:eastAsia="en-US"/>
        </w:rPr>
        <w:t xml:space="preserve">. Il centro, punto di riferimento nazionale ed europeo, si avvale di un team multidisciplinare formato da internisti, specialisti in medicina trasfusionale, genetisti, radiologi, anatomopatologi, epatologi, reumatologi ed endocrinologi. Tra gli specialisti impegnati direttamente </w:t>
      </w:r>
      <w:r w:rsidR="004505F1">
        <w:rPr>
          <w:rFonts w:ascii="Century Gothic" w:eastAsia="Calibri" w:hAnsi="Century Gothic"/>
          <w:kern w:val="2"/>
          <w:sz w:val="24"/>
          <w:szCs w:val="24"/>
          <w:lang w:eastAsia="en-US"/>
        </w:rPr>
        <w:t>n</w:t>
      </w:r>
      <w:r w:rsidR="00A538D6">
        <w:rPr>
          <w:rFonts w:ascii="Century Gothic" w:eastAsia="Calibri" w:hAnsi="Century Gothic"/>
          <w:kern w:val="2"/>
          <w:sz w:val="24"/>
          <w:szCs w:val="24"/>
          <w:lang w:eastAsia="en-US"/>
        </w:rPr>
        <w:t>ella cura</w:t>
      </w:r>
      <w:r w:rsidR="00513CE8">
        <w:rPr>
          <w:rFonts w:ascii="Century Gothic" w:eastAsia="Calibri" w:hAnsi="Century Gothic"/>
          <w:kern w:val="2"/>
          <w:sz w:val="24"/>
          <w:szCs w:val="24"/>
          <w:lang w:eastAsia="en-US"/>
        </w:rPr>
        <w:t xml:space="preserve"> di questi pazienti</w:t>
      </w:r>
      <w:r w:rsidR="00A538D6">
        <w:rPr>
          <w:rFonts w:ascii="Century Gothic" w:eastAsia="Calibri" w:hAnsi="Century Gothic"/>
          <w:kern w:val="2"/>
          <w:sz w:val="24"/>
          <w:szCs w:val="24"/>
          <w:lang w:eastAsia="en-US"/>
        </w:rPr>
        <w:t xml:space="preserve"> </w:t>
      </w:r>
      <w:r w:rsidR="00E0033F">
        <w:rPr>
          <w:rFonts w:ascii="Century Gothic" w:eastAsia="Calibri" w:hAnsi="Century Gothic"/>
          <w:kern w:val="2"/>
          <w:sz w:val="24"/>
          <w:szCs w:val="24"/>
          <w:lang w:eastAsia="en-US"/>
        </w:rPr>
        <w:t>ci sono</w:t>
      </w:r>
      <w:r w:rsidR="00513CE8">
        <w:rPr>
          <w:rFonts w:ascii="Century Gothic" w:eastAsia="Calibri" w:hAnsi="Century Gothic"/>
          <w:kern w:val="2"/>
          <w:sz w:val="24"/>
          <w:szCs w:val="24"/>
          <w:lang w:eastAsia="en-US"/>
        </w:rPr>
        <w:t xml:space="preserve">: </w:t>
      </w:r>
      <w:r w:rsidR="00A538D6">
        <w:rPr>
          <w:rFonts w:ascii="Century Gothic" w:eastAsia="Calibri" w:hAnsi="Century Gothic"/>
          <w:kern w:val="2"/>
          <w:sz w:val="24"/>
          <w:szCs w:val="24"/>
          <w:lang w:eastAsia="en-US"/>
        </w:rPr>
        <w:t xml:space="preserve">dott.ssa Claudia </w:t>
      </w:r>
      <w:proofErr w:type="spellStart"/>
      <w:r w:rsidR="00A538D6">
        <w:rPr>
          <w:rFonts w:ascii="Century Gothic" w:eastAsia="Calibri" w:hAnsi="Century Gothic"/>
          <w:kern w:val="2"/>
          <w:sz w:val="24"/>
          <w:szCs w:val="24"/>
          <w:lang w:eastAsia="en-US"/>
        </w:rPr>
        <w:t>Bozzini</w:t>
      </w:r>
      <w:proofErr w:type="spellEnd"/>
      <w:r w:rsidR="00A538D6">
        <w:rPr>
          <w:rFonts w:ascii="Century Gothic" w:eastAsia="Calibri" w:hAnsi="Century Gothic"/>
          <w:kern w:val="2"/>
          <w:sz w:val="24"/>
          <w:szCs w:val="24"/>
          <w:lang w:eastAsia="en-US"/>
        </w:rPr>
        <w:t>, dott.ssa</w:t>
      </w:r>
      <w:r w:rsidR="004505F1">
        <w:rPr>
          <w:rFonts w:ascii="Century Gothic" w:eastAsia="Calibri" w:hAnsi="Century Gothic"/>
          <w:kern w:val="2"/>
          <w:sz w:val="24"/>
          <w:szCs w:val="24"/>
          <w:lang w:eastAsia="en-US"/>
        </w:rPr>
        <w:t xml:space="preserve"> Fabiana Busti, dott.ssa Alice Vianello e dott. Giacomo Marchi.</w:t>
      </w:r>
      <w:r w:rsidR="00AF743B">
        <w:rPr>
          <w:rFonts w:ascii="Century Gothic" w:eastAsia="Calibri" w:hAnsi="Century Gothic"/>
          <w:kern w:val="2"/>
          <w:sz w:val="24"/>
          <w:szCs w:val="24"/>
          <w:lang w:eastAsia="en-US"/>
        </w:rPr>
        <w:t xml:space="preserve"> </w:t>
      </w:r>
    </w:p>
    <w:p w14:paraId="6DC79E82" w14:textId="77777777" w:rsidR="00C43B4F" w:rsidRDefault="00C43B4F" w:rsidP="00E7016A">
      <w:pPr>
        <w:suppressAutoHyphens w:val="0"/>
        <w:spacing w:line="256" w:lineRule="auto"/>
        <w:jc w:val="both"/>
        <w:rPr>
          <w:rFonts w:ascii="Century Gothic" w:eastAsia="Calibri" w:hAnsi="Century Gothic"/>
          <w:kern w:val="2"/>
          <w:sz w:val="24"/>
          <w:szCs w:val="24"/>
          <w:lang w:eastAsia="en-US"/>
        </w:rPr>
      </w:pPr>
    </w:p>
    <w:p w14:paraId="56F3E827" w14:textId="3ADC1D78" w:rsidR="004B498F" w:rsidRDefault="00BF5430" w:rsidP="00E7016A">
      <w:pPr>
        <w:suppressAutoHyphens w:val="0"/>
        <w:spacing w:line="256" w:lineRule="auto"/>
        <w:jc w:val="both"/>
        <w:rPr>
          <w:rFonts w:ascii="Century Gothic" w:eastAsia="Calibri" w:hAnsi="Century Gothic"/>
          <w:kern w:val="2"/>
          <w:sz w:val="24"/>
          <w:szCs w:val="24"/>
          <w:lang w:eastAsia="en-US"/>
        </w:rPr>
      </w:pPr>
      <w:r>
        <w:rPr>
          <w:rFonts w:ascii="Century Gothic" w:eastAsia="Calibri" w:hAnsi="Century Gothic"/>
          <w:b/>
          <w:bCs/>
          <w:kern w:val="2"/>
          <w:sz w:val="24"/>
          <w:szCs w:val="24"/>
          <w:lang w:eastAsia="en-US"/>
        </w:rPr>
        <w:t>I sintomi</w:t>
      </w:r>
      <w:r w:rsidR="00C43B4F">
        <w:rPr>
          <w:rFonts w:ascii="Century Gothic" w:eastAsia="Calibri" w:hAnsi="Century Gothic"/>
          <w:kern w:val="2"/>
          <w:sz w:val="24"/>
          <w:szCs w:val="24"/>
          <w:lang w:eastAsia="en-US"/>
        </w:rPr>
        <w:t xml:space="preserve">. </w:t>
      </w:r>
      <w:r w:rsidR="00F342AE">
        <w:rPr>
          <w:rFonts w:ascii="Century Gothic" w:eastAsia="Calibri" w:hAnsi="Century Gothic"/>
          <w:kern w:val="2"/>
          <w:sz w:val="24"/>
          <w:szCs w:val="24"/>
          <w:lang w:eastAsia="en-US"/>
        </w:rPr>
        <w:t>Il trattamento tradizionale nei casi di diagnosi precoce prevede salassi terapeutici periodici per eliminare l’eccesso di ferro e prevenire l’insorgenza di complicanze. In questi pazienti</w:t>
      </w:r>
      <w:r w:rsidR="007D586E">
        <w:rPr>
          <w:rFonts w:ascii="Century Gothic" w:eastAsia="Calibri" w:hAnsi="Century Gothic"/>
          <w:kern w:val="2"/>
          <w:sz w:val="24"/>
          <w:szCs w:val="24"/>
          <w:lang w:eastAsia="en-US"/>
        </w:rPr>
        <w:t>,</w:t>
      </w:r>
      <w:r w:rsidR="003D343E">
        <w:rPr>
          <w:rFonts w:ascii="Century Gothic" w:eastAsia="Calibri" w:hAnsi="Century Gothic"/>
          <w:kern w:val="2"/>
          <w:sz w:val="24"/>
          <w:szCs w:val="24"/>
          <w:lang w:eastAsia="en-US"/>
        </w:rPr>
        <w:t xml:space="preserve"> anche se</w:t>
      </w:r>
      <w:r w:rsidR="007D586E">
        <w:rPr>
          <w:rFonts w:ascii="Century Gothic" w:eastAsia="Calibri" w:hAnsi="Century Gothic"/>
          <w:kern w:val="2"/>
          <w:sz w:val="24"/>
          <w:szCs w:val="24"/>
          <w:lang w:eastAsia="en-US"/>
        </w:rPr>
        <w:t xml:space="preserve"> talvolta asintomatici,</w:t>
      </w:r>
      <w:r w:rsidR="00F342AE">
        <w:rPr>
          <w:rFonts w:ascii="Century Gothic" w:eastAsia="Calibri" w:hAnsi="Century Gothic"/>
          <w:kern w:val="2"/>
          <w:sz w:val="24"/>
          <w:szCs w:val="24"/>
          <w:lang w:eastAsia="en-US"/>
        </w:rPr>
        <w:t xml:space="preserve"> i sintomi più comuni sono stanchezza cronica e dolori articolari alle mani</w:t>
      </w:r>
      <w:r w:rsidR="007D586E">
        <w:rPr>
          <w:rFonts w:ascii="Century Gothic" w:eastAsia="Calibri" w:hAnsi="Century Gothic"/>
          <w:kern w:val="2"/>
          <w:sz w:val="24"/>
          <w:szCs w:val="24"/>
          <w:lang w:eastAsia="en-US"/>
        </w:rPr>
        <w:t>.</w:t>
      </w:r>
      <w:r w:rsidR="005775C2">
        <w:rPr>
          <w:rFonts w:ascii="Century Gothic" w:eastAsia="Calibri" w:hAnsi="Century Gothic"/>
          <w:kern w:val="2"/>
          <w:sz w:val="24"/>
          <w:szCs w:val="24"/>
          <w:lang w:eastAsia="en-US"/>
        </w:rPr>
        <w:t xml:space="preserve"> I</w:t>
      </w:r>
      <w:r w:rsidR="00F342AE">
        <w:rPr>
          <w:rFonts w:ascii="Century Gothic" w:eastAsia="Calibri" w:hAnsi="Century Gothic"/>
          <w:kern w:val="2"/>
          <w:sz w:val="24"/>
          <w:szCs w:val="24"/>
          <w:lang w:eastAsia="en-US"/>
        </w:rPr>
        <w:t xml:space="preserve"> pazienti con diagnosi tardiva</w:t>
      </w:r>
      <w:r w:rsidR="005775C2">
        <w:rPr>
          <w:rFonts w:ascii="Century Gothic" w:eastAsia="Calibri" w:hAnsi="Century Gothic"/>
          <w:kern w:val="2"/>
          <w:sz w:val="24"/>
          <w:szCs w:val="24"/>
          <w:lang w:eastAsia="en-US"/>
        </w:rPr>
        <w:t>, invece,</w:t>
      </w:r>
      <w:r w:rsidR="00F342AE">
        <w:rPr>
          <w:rFonts w:ascii="Century Gothic" w:eastAsia="Calibri" w:hAnsi="Century Gothic"/>
          <w:kern w:val="2"/>
          <w:sz w:val="24"/>
          <w:szCs w:val="24"/>
          <w:lang w:eastAsia="en-US"/>
        </w:rPr>
        <w:t xml:space="preserve"> presentano solitamente cirrosi epatica, diabete mellito, osteoporosi </w:t>
      </w:r>
      <w:r w:rsidR="005B35B0">
        <w:rPr>
          <w:rFonts w:ascii="Century Gothic" w:eastAsia="Calibri" w:hAnsi="Century Gothic"/>
          <w:kern w:val="2"/>
          <w:sz w:val="24"/>
          <w:szCs w:val="24"/>
          <w:lang w:eastAsia="en-US"/>
        </w:rPr>
        <w:t xml:space="preserve">o danni articolari cronici invalidanti. In queste circostanze, è necessario </w:t>
      </w:r>
      <w:r w:rsidR="003D343E">
        <w:rPr>
          <w:rFonts w:ascii="Century Gothic" w:eastAsia="Calibri" w:hAnsi="Century Gothic"/>
          <w:kern w:val="2"/>
          <w:sz w:val="24"/>
          <w:szCs w:val="24"/>
          <w:lang w:eastAsia="en-US"/>
        </w:rPr>
        <w:t>un a</w:t>
      </w:r>
      <w:r w:rsidR="005B35B0">
        <w:rPr>
          <w:rFonts w:ascii="Century Gothic" w:eastAsia="Calibri" w:hAnsi="Century Gothic"/>
          <w:kern w:val="2"/>
          <w:sz w:val="24"/>
          <w:szCs w:val="24"/>
          <w:lang w:eastAsia="en-US"/>
        </w:rPr>
        <w:t xml:space="preserve">pproccio multidisciplinare e controlli periodici. Quando la malattia è in uno stadio avanzato, il rischio più temibile è rappresentato dallo sviluppo del carcinoma epatico. </w:t>
      </w:r>
    </w:p>
    <w:p w14:paraId="29635405" w14:textId="77777777" w:rsidR="00BF5430" w:rsidRDefault="00BF5430" w:rsidP="00E7016A">
      <w:pPr>
        <w:suppressAutoHyphens w:val="0"/>
        <w:spacing w:line="256" w:lineRule="auto"/>
        <w:jc w:val="both"/>
        <w:rPr>
          <w:rFonts w:ascii="Century Gothic" w:eastAsia="Calibri" w:hAnsi="Century Gothic"/>
          <w:kern w:val="2"/>
          <w:sz w:val="24"/>
          <w:szCs w:val="24"/>
          <w:lang w:eastAsia="en-US"/>
        </w:rPr>
      </w:pPr>
    </w:p>
    <w:p w14:paraId="277B6717" w14:textId="3ED140A7" w:rsidR="00045E10" w:rsidRDefault="007D586E" w:rsidP="00045E10">
      <w:pPr>
        <w:suppressAutoHyphens w:val="0"/>
        <w:spacing w:line="256" w:lineRule="auto"/>
        <w:jc w:val="both"/>
        <w:rPr>
          <w:rFonts w:ascii="Century Gothic" w:eastAsia="Calibri" w:hAnsi="Century Gothic"/>
          <w:kern w:val="2"/>
          <w:sz w:val="24"/>
          <w:szCs w:val="24"/>
          <w:lang w:eastAsia="en-US"/>
        </w:rPr>
      </w:pPr>
      <w:r>
        <w:rPr>
          <w:rFonts w:ascii="Century Gothic" w:eastAsia="Calibri" w:hAnsi="Century Gothic"/>
          <w:b/>
          <w:bCs/>
          <w:kern w:val="2"/>
          <w:sz w:val="24"/>
          <w:szCs w:val="24"/>
          <w:lang w:eastAsia="en-US"/>
        </w:rPr>
        <w:lastRenderedPageBreak/>
        <w:t>La diagnosi</w:t>
      </w:r>
      <w:r w:rsidR="00513CE8">
        <w:rPr>
          <w:rFonts w:ascii="Century Gothic" w:eastAsia="Calibri" w:hAnsi="Century Gothic"/>
          <w:b/>
          <w:bCs/>
          <w:kern w:val="2"/>
          <w:sz w:val="24"/>
          <w:szCs w:val="24"/>
          <w:lang w:eastAsia="en-US"/>
        </w:rPr>
        <w:t xml:space="preserve"> con test genetici</w:t>
      </w:r>
      <w:r w:rsidR="004B498F">
        <w:rPr>
          <w:rFonts w:ascii="Century Gothic" w:eastAsia="Calibri" w:hAnsi="Century Gothic"/>
          <w:kern w:val="2"/>
          <w:sz w:val="24"/>
          <w:szCs w:val="24"/>
          <w:lang w:eastAsia="en-US"/>
        </w:rPr>
        <w:t>.</w:t>
      </w:r>
      <w:r>
        <w:rPr>
          <w:rFonts w:ascii="Century Gothic" w:eastAsia="Calibri" w:hAnsi="Century Gothic"/>
          <w:kern w:val="2"/>
          <w:sz w:val="24"/>
          <w:szCs w:val="24"/>
          <w:lang w:eastAsia="en-US"/>
        </w:rPr>
        <w:t xml:space="preserve"> Ad oggi la malattia può essere diagnosticata con esami di laboratorio </w:t>
      </w:r>
      <w:r w:rsidR="003D343E">
        <w:rPr>
          <w:rFonts w:ascii="Century Gothic" w:eastAsia="Calibri" w:hAnsi="Century Gothic"/>
          <w:kern w:val="2"/>
          <w:sz w:val="24"/>
          <w:szCs w:val="24"/>
          <w:lang w:eastAsia="en-US"/>
        </w:rPr>
        <w:t xml:space="preserve">ancora </w:t>
      </w:r>
      <w:r>
        <w:rPr>
          <w:rFonts w:ascii="Century Gothic" w:eastAsia="Calibri" w:hAnsi="Century Gothic"/>
          <w:kern w:val="2"/>
          <w:sz w:val="24"/>
          <w:szCs w:val="24"/>
          <w:lang w:eastAsia="en-US"/>
        </w:rPr>
        <w:t>prima che causi danni all’organismo. Il sospetto nasce dall’alterazione dei parametri della transferrina e ferritina, anche se già solo l’aumento di quest’ultima rappresenta un segnale d’allarme. La conferma</w:t>
      </w:r>
      <w:r w:rsidR="003D343E">
        <w:rPr>
          <w:rFonts w:ascii="Century Gothic" w:eastAsia="Calibri" w:hAnsi="Century Gothic"/>
          <w:kern w:val="2"/>
          <w:sz w:val="24"/>
          <w:szCs w:val="24"/>
          <w:lang w:eastAsia="en-US"/>
        </w:rPr>
        <w:t xml:space="preserve"> della diagnosi</w:t>
      </w:r>
      <w:r>
        <w:rPr>
          <w:rFonts w:ascii="Century Gothic" w:eastAsia="Calibri" w:hAnsi="Century Gothic"/>
          <w:kern w:val="2"/>
          <w:sz w:val="24"/>
          <w:szCs w:val="24"/>
          <w:lang w:eastAsia="en-US"/>
        </w:rPr>
        <w:t xml:space="preserve"> è attestata dall’esito dei test genetici che ricerca</w:t>
      </w:r>
      <w:r w:rsidR="00072A16">
        <w:rPr>
          <w:rFonts w:ascii="Century Gothic" w:eastAsia="Calibri" w:hAnsi="Century Gothic"/>
          <w:kern w:val="2"/>
          <w:sz w:val="24"/>
          <w:szCs w:val="24"/>
          <w:lang w:eastAsia="en-US"/>
        </w:rPr>
        <w:t>no</w:t>
      </w:r>
      <w:r>
        <w:rPr>
          <w:rFonts w:ascii="Century Gothic" w:eastAsia="Calibri" w:hAnsi="Century Gothic"/>
          <w:kern w:val="2"/>
          <w:sz w:val="24"/>
          <w:szCs w:val="24"/>
          <w:lang w:eastAsia="en-US"/>
        </w:rPr>
        <w:t xml:space="preserve"> la variante C282Y del gene </w:t>
      </w:r>
      <w:proofErr w:type="spellStart"/>
      <w:r>
        <w:rPr>
          <w:rFonts w:ascii="Century Gothic" w:eastAsia="Calibri" w:hAnsi="Century Gothic"/>
          <w:kern w:val="2"/>
          <w:sz w:val="24"/>
          <w:szCs w:val="24"/>
          <w:lang w:eastAsia="en-US"/>
        </w:rPr>
        <w:t>Hfe</w:t>
      </w:r>
      <w:proofErr w:type="spellEnd"/>
      <w:r>
        <w:rPr>
          <w:rFonts w:ascii="Century Gothic" w:eastAsia="Calibri" w:hAnsi="Century Gothic"/>
          <w:kern w:val="2"/>
          <w:sz w:val="24"/>
          <w:szCs w:val="24"/>
          <w:lang w:eastAsia="en-US"/>
        </w:rPr>
        <w:t xml:space="preserve">. </w:t>
      </w:r>
      <w:r w:rsidR="005775C2">
        <w:rPr>
          <w:rFonts w:ascii="Century Gothic" w:eastAsia="Calibri" w:hAnsi="Century Gothic"/>
          <w:kern w:val="2"/>
          <w:sz w:val="24"/>
          <w:szCs w:val="24"/>
          <w:lang w:eastAsia="en-US"/>
        </w:rPr>
        <w:t>Nonostante ciò, c</w:t>
      </w:r>
      <w:r w:rsidR="00045E10">
        <w:rPr>
          <w:rFonts w:ascii="Century Gothic" w:eastAsia="Calibri" w:hAnsi="Century Gothic"/>
          <w:kern w:val="2"/>
          <w:sz w:val="24"/>
          <w:szCs w:val="24"/>
          <w:lang w:eastAsia="en-US"/>
        </w:rPr>
        <w:t>irca il 30% dei pazienti presenta comunque forme</w:t>
      </w:r>
      <w:r w:rsidR="005775C2">
        <w:rPr>
          <w:rFonts w:ascii="Century Gothic" w:eastAsia="Calibri" w:hAnsi="Century Gothic"/>
          <w:kern w:val="2"/>
          <w:sz w:val="24"/>
          <w:szCs w:val="24"/>
          <w:lang w:eastAsia="en-US"/>
        </w:rPr>
        <w:t xml:space="preserve"> della patologia</w:t>
      </w:r>
      <w:r w:rsidR="00045E10">
        <w:rPr>
          <w:rFonts w:ascii="Century Gothic" w:eastAsia="Calibri" w:hAnsi="Century Gothic"/>
          <w:kern w:val="2"/>
          <w:sz w:val="24"/>
          <w:szCs w:val="24"/>
          <w:lang w:eastAsia="en-US"/>
        </w:rPr>
        <w:t xml:space="preserve"> non legate a questo gene, ma presso </w:t>
      </w:r>
      <w:r w:rsidR="00072A16">
        <w:rPr>
          <w:rFonts w:ascii="Century Gothic" w:eastAsia="Calibri" w:hAnsi="Century Gothic"/>
          <w:kern w:val="2"/>
          <w:sz w:val="24"/>
          <w:szCs w:val="24"/>
          <w:lang w:eastAsia="en-US"/>
        </w:rPr>
        <w:t xml:space="preserve">il </w:t>
      </w:r>
      <w:r w:rsidR="00513CE8">
        <w:rPr>
          <w:rFonts w:ascii="Century Gothic" w:eastAsia="Calibri" w:hAnsi="Century Gothic"/>
          <w:kern w:val="2"/>
          <w:sz w:val="24"/>
          <w:szCs w:val="24"/>
          <w:lang w:eastAsia="en-US"/>
        </w:rPr>
        <w:t>C</w:t>
      </w:r>
      <w:r w:rsidR="00045E10">
        <w:rPr>
          <w:rFonts w:ascii="Century Gothic" w:eastAsia="Calibri" w:hAnsi="Century Gothic"/>
          <w:kern w:val="2"/>
          <w:sz w:val="24"/>
          <w:szCs w:val="24"/>
          <w:lang w:eastAsia="en-US"/>
        </w:rPr>
        <w:t xml:space="preserve">entro veronese si possono effettuare test genetici di secondo livello per le forme di </w:t>
      </w:r>
      <w:proofErr w:type="spellStart"/>
      <w:r w:rsidR="00513CE8">
        <w:rPr>
          <w:rFonts w:ascii="Century Gothic" w:eastAsia="Calibri" w:hAnsi="Century Gothic"/>
          <w:kern w:val="2"/>
          <w:sz w:val="24"/>
          <w:szCs w:val="24"/>
          <w:lang w:eastAsia="en-US"/>
        </w:rPr>
        <w:t>E</w:t>
      </w:r>
      <w:r w:rsidR="00045E10">
        <w:rPr>
          <w:rFonts w:ascii="Century Gothic" w:eastAsia="Calibri" w:hAnsi="Century Gothic"/>
          <w:kern w:val="2"/>
          <w:sz w:val="24"/>
          <w:szCs w:val="24"/>
          <w:lang w:eastAsia="en-US"/>
        </w:rPr>
        <w:t>mocromatosi</w:t>
      </w:r>
      <w:proofErr w:type="spellEnd"/>
      <w:r w:rsidR="00045E10">
        <w:rPr>
          <w:rFonts w:ascii="Century Gothic" w:eastAsia="Calibri" w:hAnsi="Century Gothic"/>
          <w:kern w:val="2"/>
          <w:sz w:val="24"/>
          <w:szCs w:val="24"/>
          <w:lang w:eastAsia="en-US"/>
        </w:rPr>
        <w:t xml:space="preserve"> non-</w:t>
      </w:r>
      <w:proofErr w:type="spellStart"/>
      <w:r w:rsidR="00045E10">
        <w:rPr>
          <w:rFonts w:ascii="Century Gothic" w:eastAsia="Calibri" w:hAnsi="Century Gothic"/>
          <w:kern w:val="2"/>
          <w:sz w:val="24"/>
          <w:szCs w:val="24"/>
          <w:lang w:eastAsia="en-US"/>
        </w:rPr>
        <w:t>Hfe</w:t>
      </w:r>
      <w:proofErr w:type="spellEnd"/>
      <w:r w:rsidR="00045E10">
        <w:rPr>
          <w:rFonts w:ascii="Century Gothic" w:eastAsia="Calibri" w:hAnsi="Century Gothic"/>
          <w:kern w:val="2"/>
          <w:sz w:val="24"/>
          <w:szCs w:val="24"/>
          <w:lang w:eastAsia="en-US"/>
        </w:rPr>
        <w:t xml:space="preserve"> correlate e risonanze magnetiche per quantificare depositi di ferro nel fegato e nel cuore. </w:t>
      </w:r>
    </w:p>
    <w:p w14:paraId="07449ACF" w14:textId="77777777" w:rsidR="00045E10" w:rsidRDefault="00045E10" w:rsidP="00045E10">
      <w:pPr>
        <w:suppressAutoHyphens w:val="0"/>
        <w:spacing w:line="256" w:lineRule="auto"/>
        <w:jc w:val="both"/>
        <w:rPr>
          <w:rFonts w:ascii="Century Gothic" w:eastAsia="Calibri" w:hAnsi="Century Gothic"/>
          <w:kern w:val="2"/>
          <w:sz w:val="24"/>
          <w:szCs w:val="24"/>
          <w:lang w:eastAsia="en-US"/>
        </w:rPr>
      </w:pPr>
    </w:p>
    <w:p w14:paraId="3A5184B7" w14:textId="798B7288" w:rsidR="00045E10" w:rsidRDefault="00045E10" w:rsidP="00045E10">
      <w:pPr>
        <w:suppressAutoHyphens w:val="0"/>
        <w:spacing w:line="256" w:lineRule="auto"/>
        <w:jc w:val="both"/>
        <w:rPr>
          <w:rFonts w:ascii="Century Gothic" w:eastAsia="Calibri" w:hAnsi="Century Gothic"/>
          <w:kern w:val="2"/>
          <w:sz w:val="24"/>
          <w:szCs w:val="24"/>
          <w:lang w:eastAsia="en-US"/>
        </w:rPr>
      </w:pPr>
      <w:r w:rsidRPr="00045E10">
        <w:rPr>
          <w:rFonts w:ascii="Century Gothic" w:eastAsia="Calibri" w:hAnsi="Century Gothic"/>
          <w:b/>
          <w:bCs/>
          <w:kern w:val="2"/>
          <w:sz w:val="24"/>
          <w:szCs w:val="24"/>
          <w:lang w:eastAsia="en-US"/>
        </w:rPr>
        <w:t>I</w:t>
      </w:r>
      <w:r>
        <w:rPr>
          <w:rFonts w:ascii="Century Gothic" w:eastAsia="Calibri" w:hAnsi="Century Gothic"/>
          <w:b/>
          <w:bCs/>
          <w:kern w:val="2"/>
          <w:sz w:val="24"/>
          <w:szCs w:val="24"/>
          <w:lang w:eastAsia="en-US"/>
        </w:rPr>
        <w:t xml:space="preserve"> </w:t>
      </w:r>
      <w:r w:rsidRPr="00045E10">
        <w:rPr>
          <w:rFonts w:ascii="Century Gothic" w:eastAsia="Calibri" w:hAnsi="Century Gothic"/>
          <w:b/>
          <w:bCs/>
          <w:kern w:val="2"/>
          <w:sz w:val="24"/>
          <w:szCs w:val="24"/>
          <w:lang w:eastAsia="en-US"/>
        </w:rPr>
        <w:t xml:space="preserve">risultati del </w:t>
      </w:r>
      <w:r w:rsidR="00513CE8">
        <w:rPr>
          <w:rFonts w:ascii="Century Gothic" w:eastAsia="Calibri" w:hAnsi="Century Gothic"/>
          <w:b/>
          <w:bCs/>
          <w:kern w:val="2"/>
          <w:sz w:val="24"/>
          <w:szCs w:val="24"/>
          <w:lang w:eastAsia="en-US"/>
        </w:rPr>
        <w:t>Centro</w:t>
      </w:r>
      <w:r w:rsidRPr="00045E10">
        <w:rPr>
          <w:rFonts w:ascii="Century Gothic" w:eastAsia="Calibri" w:hAnsi="Century Gothic"/>
          <w:b/>
          <w:bCs/>
          <w:kern w:val="2"/>
          <w:sz w:val="24"/>
          <w:szCs w:val="24"/>
          <w:lang w:eastAsia="en-US"/>
        </w:rPr>
        <w:t xml:space="preserve"> veronese</w:t>
      </w:r>
      <w:r>
        <w:rPr>
          <w:rFonts w:ascii="Century Gothic" w:eastAsia="Calibri" w:hAnsi="Century Gothic"/>
          <w:kern w:val="2"/>
          <w:sz w:val="24"/>
          <w:szCs w:val="24"/>
          <w:lang w:eastAsia="en-US"/>
        </w:rPr>
        <w:t xml:space="preserve">. </w:t>
      </w:r>
      <w:r w:rsidR="00692A58">
        <w:rPr>
          <w:rFonts w:ascii="Century Gothic" w:eastAsia="Calibri" w:hAnsi="Century Gothic"/>
          <w:kern w:val="2"/>
          <w:sz w:val="24"/>
          <w:szCs w:val="24"/>
          <w:lang w:eastAsia="en-US"/>
        </w:rPr>
        <w:t xml:space="preserve">Il team di </w:t>
      </w:r>
      <w:proofErr w:type="spellStart"/>
      <w:r w:rsidR="00692A58">
        <w:rPr>
          <w:rFonts w:ascii="Century Gothic" w:eastAsia="Calibri" w:hAnsi="Century Gothic"/>
          <w:kern w:val="2"/>
          <w:sz w:val="24"/>
          <w:szCs w:val="24"/>
          <w:lang w:eastAsia="en-US"/>
        </w:rPr>
        <w:t>Aoui</w:t>
      </w:r>
      <w:proofErr w:type="spellEnd"/>
      <w:r w:rsidR="00BF5430">
        <w:rPr>
          <w:rFonts w:ascii="Century Gothic" w:eastAsia="Calibri" w:hAnsi="Century Gothic"/>
          <w:kern w:val="2"/>
          <w:sz w:val="24"/>
          <w:szCs w:val="24"/>
          <w:lang w:eastAsia="en-US"/>
        </w:rPr>
        <w:t>, in collaborazione con l’Università di Verona,</w:t>
      </w:r>
      <w:r w:rsidR="00692A58">
        <w:rPr>
          <w:rFonts w:ascii="Century Gothic" w:eastAsia="Calibri" w:hAnsi="Century Gothic"/>
          <w:kern w:val="2"/>
          <w:sz w:val="24"/>
          <w:szCs w:val="24"/>
          <w:lang w:eastAsia="en-US"/>
        </w:rPr>
        <w:t xml:space="preserve"> da anni collabora a livello nazionale ed internazionale per studiare i meccanismi alla base della malattia. </w:t>
      </w:r>
      <w:r w:rsidR="00EF3A21">
        <w:rPr>
          <w:rFonts w:ascii="Century Gothic" w:eastAsia="Calibri" w:hAnsi="Century Gothic"/>
          <w:kern w:val="2"/>
          <w:sz w:val="24"/>
          <w:szCs w:val="24"/>
          <w:lang w:eastAsia="en-US"/>
        </w:rPr>
        <w:t xml:space="preserve">Inoltre, alcuni progetti di ricerca del prof. Girelli e della dott.ssa Busti hanno ricevuto finanziamenti dal </w:t>
      </w:r>
      <w:r w:rsidR="00513CE8">
        <w:rPr>
          <w:rFonts w:ascii="Century Gothic" w:eastAsia="Calibri" w:hAnsi="Century Gothic"/>
          <w:kern w:val="2"/>
          <w:sz w:val="24"/>
          <w:szCs w:val="24"/>
          <w:lang w:eastAsia="en-US"/>
        </w:rPr>
        <w:t>m</w:t>
      </w:r>
      <w:r w:rsidR="00EF3A21">
        <w:rPr>
          <w:rFonts w:ascii="Century Gothic" w:eastAsia="Calibri" w:hAnsi="Century Gothic"/>
          <w:kern w:val="2"/>
          <w:sz w:val="24"/>
          <w:szCs w:val="24"/>
          <w:lang w:eastAsia="en-US"/>
        </w:rPr>
        <w:t xml:space="preserve">inistero della </w:t>
      </w:r>
      <w:r w:rsidR="00513CE8">
        <w:rPr>
          <w:rFonts w:ascii="Century Gothic" w:eastAsia="Calibri" w:hAnsi="Century Gothic"/>
          <w:kern w:val="2"/>
          <w:sz w:val="24"/>
          <w:szCs w:val="24"/>
          <w:lang w:eastAsia="en-US"/>
        </w:rPr>
        <w:t>S</w:t>
      </w:r>
      <w:r w:rsidR="00EF3A21">
        <w:rPr>
          <w:rFonts w:ascii="Century Gothic" w:eastAsia="Calibri" w:hAnsi="Century Gothic"/>
          <w:kern w:val="2"/>
          <w:sz w:val="24"/>
          <w:szCs w:val="24"/>
          <w:lang w:eastAsia="en-US"/>
        </w:rPr>
        <w:t xml:space="preserve">alute e dal </w:t>
      </w:r>
      <w:r w:rsidR="00513CE8">
        <w:rPr>
          <w:rFonts w:ascii="Century Gothic" w:eastAsia="Calibri" w:hAnsi="Century Gothic"/>
          <w:kern w:val="2"/>
          <w:sz w:val="24"/>
          <w:szCs w:val="24"/>
          <w:lang w:eastAsia="en-US"/>
        </w:rPr>
        <w:t>m</w:t>
      </w:r>
      <w:r w:rsidR="00EF3A21">
        <w:rPr>
          <w:rFonts w:ascii="Century Gothic" w:eastAsia="Calibri" w:hAnsi="Century Gothic"/>
          <w:kern w:val="2"/>
          <w:sz w:val="24"/>
          <w:szCs w:val="24"/>
          <w:lang w:eastAsia="en-US"/>
        </w:rPr>
        <w:t>inistero dell’</w:t>
      </w:r>
      <w:r w:rsidR="00513CE8">
        <w:rPr>
          <w:rFonts w:ascii="Century Gothic" w:eastAsia="Calibri" w:hAnsi="Century Gothic"/>
          <w:kern w:val="2"/>
          <w:sz w:val="24"/>
          <w:szCs w:val="24"/>
          <w:lang w:eastAsia="en-US"/>
        </w:rPr>
        <w:t>U</w:t>
      </w:r>
      <w:r w:rsidR="00EF3A21">
        <w:rPr>
          <w:rFonts w:ascii="Century Gothic" w:eastAsia="Calibri" w:hAnsi="Century Gothic"/>
          <w:kern w:val="2"/>
          <w:sz w:val="24"/>
          <w:szCs w:val="24"/>
          <w:lang w:eastAsia="en-US"/>
        </w:rPr>
        <w:t>niversità e della ricerca. Quest’anno il Centro veronese è stato selezionato come sede per lo studio multicentrico internazionale “</w:t>
      </w:r>
      <w:proofErr w:type="spellStart"/>
      <w:r w:rsidR="00EF3A21">
        <w:rPr>
          <w:rFonts w:ascii="Century Gothic" w:eastAsia="Calibri" w:hAnsi="Century Gothic"/>
          <w:kern w:val="2"/>
          <w:sz w:val="24"/>
          <w:szCs w:val="24"/>
          <w:lang w:eastAsia="en-US"/>
        </w:rPr>
        <w:t>FerroClear</w:t>
      </w:r>
      <w:proofErr w:type="spellEnd"/>
      <w:r w:rsidR="00EF3A21">
        <w:rPr>
          <w:rFonts w:ascii="Century Gothic" w:eastAsia="Calibri" w:hAnsi="Century Gothic"/>
          <w:kern w:val="2"/>
          <w:sz w:val="24"/>
          <w:szCs w:val="24"/>
          <w:lang w:eastAsia="en-US"/>
        </w:rPr>
        <w:t>” per la valutazione di una nuova terapia orale. Il farmaco in questione, attualmente in fase di sperimentazione, mira a sostituire i salassi terapeutici</w:t>
      </w:r>
      <w:r w:rsidR="00072A16">
        <w:rPr>
          <w:rFonts w:ascii="Century Gothic" w:eastAsia="Calibri" w:hAnsi="Century Gothic"/>
          <w:kern w:val="2"/>
          <w:sz w:val="24"/>
          <w:szCs w:val="24"/>
          <w:lang w:eastAsia="en-US"/>
        </w:rPr>
        <w:t xml:space="preserve"> correggendo in modo più fisiologico le alterazioni metaboliche</w:t>
      </w:r>
      <w:r w:rsidR="00EF3A21">
        <w:rPr>
          <w:rFonts w:ascii="Century Gothic" w:eastAsia="Calibri" w:hAnsi="Century Gothic"/>
          <w:kern w:val="2"/>
          <w:sz w:val="24"/>
          <w:szCs w:val="24"/>
          <w:lang w:eastAsia="en-US"/>
        </w:rPr>
        <w:t xml:space="preserve">. Infine, </w:t>
      </w:r>
      <w:r w:rsidR="00072A16">
        <w:rPr>
          <w:rFonts w:ascii="Century Gothic" w:eastAsia="Calibri" w:hAnsi="Century Gothic"/>
          <w:kern w:val="2"/>
          <w:sz w:val="24"/>
          <w:szCs w:val="24"/>
          <w:lang w:eastAsia="en-US"/>
        </w:rPr>
        <w:t>il prossimo anno Ve</w:t>
      </w:r>
      <w:r w:rsidR="00EF3A21">
        <w:rPr>
          <w:rFonts w:ascii="Century Gothic" w:eastAsia="Calibri" w:hAnsi="Century Gothic"/>
          <w:kern w:val="2"/>
          <w:sz w:val="24"/>
          <w:szCs w:val="24"/>
          <w:lang w:eastAsia="en-US"/>
        </w:rPr>
        <w:t xml:space="preserve">rona ospiterà l’XI Congresso internazionale </w:t>
      </w:r>
      <w:proofErr w:type="spellStart"/>
      <w:r w:rsidR="00EF3A21">
        <w:rPr>
          <w:rFonts w:ascii="Century Gothic" w:eastAsia="Calibri" w:hAnsi="Century Gothic"/>
          <w:kern w:val="2"/>
          <w:sz w:val="24"/>
          <w:szCs w:val="24"/>
          <w:lang w:eastAsia="en-US"/>
        </w:rPr>
        <w:t>Bioiron</w:t>
      </w:r>
      <w:proofErr w:type="spellEnd"/>
      <w:r w:rsidR="00EF3A21">
        <w:rPr>
          <w:rFonts w:ascii="Century Gothic" w:eastAsia="Calibri" w:hAnsi="Century Gothic"/>
          <w:kern w:val="2"/>
          <w:sz w:val="24"/>
          <w:szCs w:val="24"/>
          <w:lang w:eastAsia="en-US"/>
        </w:rPr>
        <w:t xml:space="preserve">, ciò conferma </w:t>
      </w:r>
      <w:r w:rsidR="00072A16">
        <w:rPr>
          <w:rFonts w:ascii="Century Gothic" w:eastAsia="Calibri" w:hAnsi="Century Gothic"/>
          <w:kern w:val="2"/>
          <w:sz w:val="24"/>
          <w:szCs w:val="24"/>
          <w:lang w:eastAsia="en-US"/>
        </w:rPr>
        <w:t>l’importante</w:t>
      </w:r>
      <w:r w:rsidR="00EF3A21">
        <w:rPr>
          <w:rFonts w:ascii="Century Gothic" w:eastAsia="Calibri" w:hAnsi="Century Gothic"/>
          <w:kern w:val="2"/>
          <w:sz w:val="24"/>
          <w:szCs w:val="24"/>
          <w:lang w:eastAsia="en-US"/>
        </w:rPr>
        <w:t xml:space="preserve"> ruolo scientifico raggiunto dall’Università e </w:t>
      </w:r>
      <w:proofErr w:type="spellStart"/>
      <w:r w:rsidR="00EF3A21">
        <w:rPr>
          <w:rFonts w:ascii="Century Gothic" w:eastAsia="Calibri" w:hAnsi="Century Gothic"/>
          <w:kern w:val="2"/>
          <w:sz w:val="24"/>
          <w:szCs w:val="24"/>
          <w:lang w:eastAsia="en-US"/>
        </w:rPr>
        <w:t>Aoui</w:t>
      </w:r>
      <w:proofErr w:type="spellEnd"/>
      <w:r w:rsidR="00EF3A21">
        <w:rPr>
          <w:rFonts w:ascii="Century Gothic" w:eastAsia="Calibri" w:hAnsi="Century Gothic"/>
          <w:kern w:val="2"/>
          <w:sz w:val="24"/>
          <w:szCs w:val="24"/>
          <w:lang w:eastAsia="en-US"/>
        </w:rPr>
        <w:t xml:space="preserve"> di Verona nel campo delle malattie del metabolismo del ferro</w:t>
      </w:r>
    </w:p>
    <w:p w14:paraId="3CE07001" w14:textId="13320D0E" w:rsidR="00F47AA0" w:rsidRDefault="00F47AA0" w:rsidP="00E7016A">
      <w:pPr>
        <w:suppressAutoHyphens w:val="0"/>
        <w:spacing w:line="256" w:lineRule="auto"/>
        <w:jc w:val="both"/>
        <w:rPr>
          <w:rFonts w:ascii="Century Gothic" w:eastAsia="Calibri" w:hAnsi="Century Gothic"/>
          <w:kern w:val="2"/>
          <w:sz w:val="24"/>
          <w:szCs w:val="24"/>
          <w:lang w:eastAsia="en-US"/>
        </w:rPr>
      </w:pPr>
    </w:p>
    <w:sectPr w:rsidR="00F47AA0">
      <w:headerReference w:type="default" r:id="rId8"/>
      <w:footerReference w:type="even" r:id="rId9"/>
      <w:footerReference w:type="default" r:id="rId10"/>
      <w:pgSz w:w="11906" w:h="16838"/>
      <w:pgMar w:top="1418" w:right="1134" w:bottom="1134" w:left="1134"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1A6F1D" w14:textId="77777777" w:rsidR="00014657" w:rsidRDefault="00014657">
      <w:r>
        <w:separator/>
      </w:r>
    </w:p>
  </w:endnote>
  <w:endnote w:type="continuationSeparator" w:id="0">
    <w:p w14:paraId="7EB07532" w14:textId="77777777" w:rsidR="00014657" w:rsidRDefault="000146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ppleSystemUIFont">
    <w:altName w:val="Calibri"/>
    <w:panose1 w:val="00000000000000000000"/>
    <w:charset w:val="00"/>
    <w:family w:val="auto"/>
    <w:notTrueType/>
    <w:pitch w:val="default"/>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F7687" w14:textId="0BAE0C33" w:rsidR="00713A61" w:rsidRDefault="00566947">
    <w:pPr>
      <w:pStyle w:val="Pidipagina"/>
    </w:pPr>
    <w:r>
      <w:t>Ospedale</w:t>
    </w:r>
    <w:r w:rsidR="00713A61">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B01CF3" w14:textId="6BA54A8B" w:rsidR="00707657" w:rsidRDefault="00556ED6">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pPr>
    <w:r w:rsidRPr="000B2EB4">
      <w:rPr>
        <w:rFonts w:ascii="Century Gothic" w:hAnsi="Century Gothic" w:cs="AppleSystemUIFont"/>
        <w:lang w:eastAsia="it-IT"/>
      </w:rPr>
      <w:t>AOUI Verona Notizie</w:t>
    </w:r>
    <w:r w:rsidR="00700B07" w:rsidRPr="006C191D">
      <w:rPr>
        <w:rFonts w:ascii="Century Gothic" w:hAnsi="Century Gothic" w:cs="AppleSystemUIFont"/>
        <w:sz w:val="17"/>
        <w:szCs w:val="17"/>
        <w:lang w:eastAsia="it-IT"/>
      </w:rPr>
      <w:br/>
      <w:t>Registrazione al Tribunale di Verona</w:t>
    </w:r>
    <w:r w:rsidR="000B2EB4">
      <w:rPr>
        <w:rFonts w:ascii="Century Gothic" w:hAnsi="Century Gothic" w:cs="AppleSystemUIFont"/>
        <w:sz w:val="17"/>
        <w:szCs w:val="17"/>
        <w:lang w:eastAsia="it-IT"/>
      </w:rPr>
      <w:t xml:space="preserve"> </w:t>
    </w:r>
    <w:r w:rsidR="00700B07" w:rsidRPr="006C191D">
      <w:rPr>
        <w:rFonts w:ascii="Century Gothic" w:hAnsi="Century Gothic" w:cs="AppleSystemUIFont"/>
        <w:sz w:val="17"/>
        <w:szCs w:val="17"/>
        <w:lang w:eastAsia="it-IT"/>
      </w:rPr>
      <w:t xml:space="preserve">n° </w:t>
    </w:r>
    <w:r w:rsidR="00150CB8" w:rsidRPr="006C191D">
      <w:rPr>
        <w:rFonts w:ascii="Century Gothic" w:hAnsi="Century Gothic" w:cs="AppleSystemUIFont"/>
        <w:sz w:val="17"/>
        <w:szCs w:val="17"/>
        <w:lang w:eastAsia="it-IT"/>
      </w:rPr>
      <w:t>2222 del 23/10/2025</w:t>
    </w:r>
    <w:r w:rsidR="000B2EB4">
      <w:rPr>
        <w:rFonts w:ascii="Century Gothic" w:hAnsi="Century Gothic" w:cs="AppleSystemUIFont"/>
        <w:sz w:val="17"/>
        <w:szCs w:val="17"/>
        <w:lang w:eastAsia="it-IT"/>
      </w:rPr>
      <w:br/>
    </w:r>
    <w:r>
      <w:rPr>
        <w:rFonts w:ascii="Century Gothic" w:hAnsi="Century Gothic" w:cs="Century Gothic"/>
        <w:sz w:val="17"/>
        <w:szCs w:val="17"/>
      </w:rPr>
      <w:br/>
    </w:r>
    <w:r w:rsidR="00707657">
      <w:rPr>
        <w:rFonts w:ascii="Century Gothic" w:hAnsi="Century Gothic" w:cs="Century Gothic"/>
        <w:sz w:val="17"/>
        <w:szCs w:val="17"/>
      </w:rPr>
      <w:t>Sede Legale: P</w:t>
    </w:r>
    <w:r w:rsidR="00713DD1">
      <w:rPr>
        <w:rFonts w:ascii="Century Gothic" w:hAnsi="Century Gothic" w:cs="Century Gothic"/>
        <w:sz w:val="17"/>
        <w:szCs w:val="17"/>
      </w:rPr>
      <w:t>iazzale</w:t>
    </w:r>
    <w:r w:rsidR="00707657">
      <w:rPr>
        <w:rFonts w:ascii="Century Gothic" w:hAnsi="Century Gothic" w:cs="Century Gothic"/>
        <w:sz w:val="17"/>
        <w:szCs w:val="17"/>
      </w:rPr>
      <w:t xml:space="preserve"> A. Stefani, 1 – 37126 Verona</w:t>
    </w:r>
  </w:p>
  <w:p w14:paraId="2053420A" w14:textId="77777777" w:rsidR="00707657" w:rsidRDefault="00707657">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pPr>
    <w:r>
      <w:rPr>
        <w:rFonts w:ascii="Century Gothic" w:hAnsi="Century Gothic" w:cs="Century Gothic"/>
        <w:sz w:val="17"/>
        <w:szCs w:val="17"/>
      </w:rPr>
      <w:t>Tel. 045/812 1293 - 045/812 2206 - C.F. e P.IVA 03901420236</w:t>
    </w:r>
  </w:p>
  <w:p w14:paraId="3519301B" w14:textId="77777777" w:rsidR="00707657" w:rsidRDefault="00014657">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rPr>
        <w:sz w:val="16"/>
        <w:szCs w:val="16"/>
      </w:rPr>
    </w:pPr>
    <w:hyperlink r:id="rId1" w:history="1">
      <w:r w:rsidR="00707657">
        <w:rPr>
          <w:rStyle w:val="Collegamentoipertestuale"/>
          <w:rFonts w:ascii="Century Gothic" w:hAnsi="Century Gothic" w:cs="Century Gothic"/>
          <w:sz w:val="17"/>
          <w:szCs w:val="17"/>
        </w:rPr>
        <w:t>www.aovr.veneto.it</w:t>
      </w:r>
    </w:hyperlink>
    <w:r w:rsidR="00707657">
      <w:rPr>
        <w:rFonts w:ascii="Century Gothic" w:hAnsi="Century Gothic" w:cs="Century Gothic"/>
        <w:sz w:val="17"/>
        <w:szCs w:val="17"/>
      </w:rPr>
      <w:t xml:space="preserve">  -  e-mail: </w:t>
    </w:r>
    <w:hyperlink r:id="rId2" w:history="1">
      <w:r w:rsidR="00707657">
        <w:rPr>
          <w:rStyle w:val="Collegamentoipertestuale"/>
          <w:rFonts w:ascii="Century Gothic" w:hAnsi="Century Gothic" w:cs="Century Gothic"/>
          <w:sz w:val="17"/>
          <w:szCs w:val="17"/>
        </w:rPr>
        <w:t>ufficio.stampa@aovr.veneto.it</w:t>
      </w:r>
    </w:hyperlink>
  </w:p>
  <w:p w14:paraId="225757AC" w14:textId="5EADA6E8" w:rsidR="00707657" w:rsidRDefault="00707657">
    <w:pPr>
      <w:pStyle w:val="Pidipagina"/>
      <w:tabs>
        <w:tab w:val="clear" w:pos="4819"/>
        <w:tab w:val="clear" w:pos="9638"/>
      </w:tabs>
      <w:spacing w:before="40" w:line="260" w:lineRule="exact"/>
      <w:jc w:val="center"/>
    </w:pPr>
    <w:r>
      <w:rPr>
        <w:sz w:val="16"/>
        <w:szCs w:val="16"/>
      </w:rPr>
      <w:t xml:space="preserve">- </w:t>
    </w:r>
    <w:r>
      <w:rPr>
        <w:rStyle w:val="Numeropagina"/>
        <w:sz w:val="16"/>
        <w:szCs w:val="16"/>
      </w:rPr>
      <w:fldChar w:fldCharType="begin"/>
    </w:r>
    <w:r>
      <w:rPr>
        <w:rStyle w:val="Numeropagina"/>
        <w:sz w:val="16"/>
        <w:szCs w:val="16"/>
      </w:rPr>
      <w:instrText xml:space="preserve"> PAGE </w:instrText>
    </w:r>
    <w:r>
      <w:rPr>
        <w:rStyle w:val="Numeropagina"/>
        <w:sz w:val="16"/>
        <w:szCs w:val="16"/>
      </w:rPr>
      <w:fldChar w:fldCharType="separate"/>
    </w:r>
    <w:r w:rsidR="00800D71">
      <w:rPr>
        <w:rStyle w:val="Numeropagina"/>
        <w:noProof/>
        <w:sz w:val="16"/>
        <w:szCs w:val="16"/>
      </w:rPr>
      <w:t>2</w:t>
    </w:r>
    <w:r>
      <w:rPr>
        <w:rStyle w:val="Numeropagina"/>
        <w:sz w:val="16"/>
        <w:szCs w:val="16"/>
      </w:rPr>
      <w:fldChar w:fldCharType="end"/>
    </w:r>
    <w:r>
      <w:rPr>
        <w:rStyle w:val="Numeropagina"/>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875F18" w14:textId="77777777" w:rsidR="00014657" w:rsidRDefault="00014657">
      <w:r>
        <w:separator/>
      </w:r>
    </w:p>
  </w:footnote>
  <w:footnote w:type="continuationSeparator" w:id="0">
    <w:p w14:paraId="6DE5099D" w14:textId="77777777" w:rsidR="00014657" w:rsidRDefault="000146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72F19C" w14:textId="34309879" w:rsidR="00BA5023" w:rsidRDefault="00BA5023" w:rsidP="00BA5023">
    <w:pPr>
      <w:pStyle w:val="Intestazione"/>
      <w:tabs>
        <w:tab w:val="clear" w:pos="4819"/>
        <w:tab w:val="clear" w:pos="9638"/>
      </w:tabs>
      <w:spacing w:before="40"/>
      <w:jc w:val="center"/>
    </w:pPr>
    <w:r>
      <w:rPr>
        <w:noProof/>
        <w:lang w:eastAsia="it-IT"/>
      </w:rPr>
      <w:drawing>
        <wp:anchor distT="0" distB="0" distL="114935" distR="114935" simplePos="0" relativeHeight="251660288" behindDoc="0" locked="0" layoutInCell="1" allowOverlap="1" wp14:anchorId="7540E142" wp14:editId="6FBED2CB">
          <wp:simplePos x="0" y="0"/>
          <wp:positionH relativeFrom="column">
            <wp:posOffset>229870</wp:posOffset>
          </wp:positionH>
          <wp:positionV relativeFrom="paragraph">
            <wp:posOffset>-12517</wp:posOffset>
          </wp:positionV>
          <wp:extent cx="629920" cy="608782"/>
          <wp:effectExtent l="0" t="0" r="5080" b="1270"/>
          <wp:wrapNone/>
          <wp:docPr id="1" name="Oggetto 1" descr="Logo Ospedale Santa Casa di Misericordia in Veron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Oggetto 1" descr="Logo Ospedale Santa Casa di Misericordia in Verona"/>
                  <pic:cNvPicPr>
                    <a:picLocks/>
                  </pic:cNvPicPr>
                </pic:nvPicPr>
                <pic:blipFill rotWithShape="1">
                  <a:blip r:embed="rId1">
                    <a:extLst>
                      <a:ext uri="{28A0092B-C50C-407E-A947-70E740481C1C}">
                        <a14:useLocalDpi xmlns:a14="http://schemas.microsoft.com/office/drawing/2010/main" val="0"/>
                      </a:ext>
                    </a:extLst>
                  </a:blip>
                  <a:srcRect l="4259" t="-29" r="-26" b="7470"/>
                  <a:stretch>
                    <a:fillRect/>
                  </a:stretch>
                </pic:blipFill>
                <pic:spPr bwMode="auto">
                  <a:xfrm>
                    <a:off x="0" y="0"/>
                    <a:ext cx="632507" cy="611282"/>
                  </a:xfrm>
                  <a:prstGeom prst="rect">
                    <a:avLst/>
                  </a:prstGeom>
                  <a:solidFill>
                    <a:srgbClr val="FFFFFF">
                      <a:alpha val="0"/>
                    </a:srgbClr>
                  </a:solid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it-IT"/>
      </w:rPr>
      <w:drawing>
        <wp:anchor distT="0" distB="0" distL="114935" distR="114935" simplePos="0" relativeHeight="251659264" behindDoc="0" locked="0" layoutInCell="1" allowOverlap="1" wp14:anchorId="50383CAB" wp14:editId="15CF4DF9">
          <wp:simplePos x="0" y="0"/>
          <wp:positionH relativeFrom="column">
            <wp:posOffset>5384800</wp:posOffset>
          </wp:positionH>
          <wp:positionV relativeFrom="paragraph">
            <wp:posOffset>-8255</wp:posOffset>
          </wp:positionV>
          <wp:extent cx="574675" cy="574675"/>
          <wp:effectExtent l="0" t="0" r="0" b="0"/>
          <wp:wrapNone/>
          <wp:docPr id="2" name="Immagine 1" descr="Logo Università degli Studi di Veron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magine 1" descr="Logo Università degli Studi di Verona"/>
                  <pic:cNvPicPr>
                    <a:picLocks/>
                  </pic:cNvPicPr>
                </pic:nvPicPr>
                <pic:blipFill>
                  <a:blip r:embed="rId2">
                    <a:extLst>
                      <a:ext uri="{28A0092B-C50C-407E-A947-70E740481C1C}">
                        <a14:useLocalDpi xmlns:a14="http://schemas.microsoft.com/office/drawing/2010/main" val="0"/>
                      </a:ext>
                    </a:extLst>
                  </a:blip>
                  <a:srcRect l="-11" t="-11" r="-11" b="-11"/>
                  <a:stretch>
                    <a:fillRect/>
                  </a:stretch>
                </pic:blipFill>
                <pic:spPr bwMode="auto">
                  <a:xfrm>
                    <a:off x="0" y="0"/>
                    <a:ext cx="574675" cy="5746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Pr>
        <w:sz w:val="26"/>
        <w:szCs w:val="26"/>
      </w:rPr>
      <w:t>AZIENDA OSPEDALIERA UNIVERSITARIA INTEGRATA</w:t>
    </w:r>
  </w:p>
  <w:p w14:paraId="07ABD8D3" w14:textId="7734EBE9" w:rsidR="00BA5023" w:rsidRDefault="00BA5023" w:rsidP="00BA5023">
    <w:pPr>
      <w:pStyle w:val="Intestazione"/>
      <w:tabs>
        <w:tab w:val="clear" w:pos="4819"/>
        <w:tab w:val="clear" w:pos="9638"/>
      </w:tabs>
      <w:spacing w:before="20" w:after="40"/>
      <w:jc w:val="center"/>
    </w:pPr>
    <w:r>
      <w:rPr>
        <w:sz w:val="26"/>
        <w:szCs w:val="26"/>
      </w:rPr>
      <w:t>VERONA</w:t>
    </w:r>
  </w:p>
  <w:p w14:paraId="66A9C063" w14:textId="037D80D1" w:rsidR="00BA5023" w:rsidRDefault="00BA5023" w:rsidP="00BA5023">
    <w:pPr>
      <w:pStyle w:val="Intestazione"/>
      <w:tabs>
        <w:tab w:val="clear" w:pos="4819"/>
        <w:tab w:val="clear" w:pos="9638"/>
      </w:tabs>
      <w:spacing w:before="40" w:after="40"/>
      <w:jc w:val="center"/>
    </w:pPr>
    <w:r>
      <w:t>(D.</w:t>
    </w:r>
    <w:r w:rsidR="00E32BA5">
      <w:t xml:space="preserve"> </w:t>
    </w:r>
    <w:r>
      <w:t>Lgs. n. 517/1999 - Art. 3 L.R. Veneto n. 18/2009)</w:t>
    </w:r>
  </w:p>
  <w:tbl>
    <w:tblPr>
      <w:tblW w:w="9778" w:type="dxa"/>
      <w:jc w:val="center"/>
      <w:tblLayout w:type="fixed"/>
      <w:tblLook w:val="0000" w:firstRow="0" w:lastRow="0" w:firstColumn="0" w:lastColumn="0" w:noHBand="0" w:noVBand="0"/>
    </w:tblPr>
    <w:tblGrid>
      <w:gridCol w:w="9778"/>
    </w:tblGrid>
    <w:tr w:rsidR="00BA5023" w14:paraId="3F3BD800" w14:textId="77777777" w:rsidTr="00131B5A">
      <w:trPr>
        <w:jc w:val="center"/>
      </w:trPr>
      <w:tc>
        <w:tcPr>
          <w:tcW w:w="9778" w:type="dxa"/>
          <w:tcBorders>
            <w:top w:val="single" w:sz="4" w:space="0" w:color="000000"/>
            <w:bottom w:val="single" w:sz="4" w:space="0" w:color="000000"/>
          </w:tcBorders>
        </w:tcPr>
        <w:p w14:paraId="1946767A" w14:textId="6BF3AB32" w:rsidR="00BA5023" w:rsidRDefault="00BA5023" w:rsidP="00BA5023">
          <w:pPr>
            <w:pStyle w:val="Intestazione"/>
            <w:tabs>
              <w:tab w:val="clear" w:pos="4819"/>
              <w:tab w:val="clear" w:pos="9638"/>
            </w:tabs>
            <w:spacing w:before="60" w:after="60"/>
            <w:jc w:val="center"/>
          </w:pPr>
          <w:r>
            <w:rPr>
              <w:rFonts w:ascii="Century Gothic" w:hAnsi="Century Gothic" w:cs="Century Gothic"/>
              <w:b/>
            </w:rPr>
            <w:t>Ufficio Comunicazione Esterna e Stampa</w:t>
          </w:r>
        </w:p>
      </w:tc>
    </w:tr>
  </w:tbl>
  <w:p w14:paraId="7B7F3CFA" w14:textId="77777777" w:rsidR="00E22C6C" w:rsidRPr="00713A61" w:rsidRDefault="00E22C6C" w:rsidP="00E22C6C">
    <w:pPr>
      <w:pStyle w:val="Intestazione"/>
      <w:tabs>
        <w:tab w:val="clear" w:pos="4819"/>
        <w:tab w:val="clear" w:pos="9638"/>
      </w:tabs>
      <w:spacing w:before="60" w:after="60"/>
      <w:rPr>
        <w:rFonts w:ascii="Century Gothic" w:hAnsi="Century Gothic" w:cs="Century Gothic"/>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EB08BB"/>
    <w:multiLevelType w:val="hybridMultilevel"/>
    <w:tmpl w:val="2286E170"/>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29850B78"/>
    <w:multiLevelType w:val="hybridMultilevel"/>
    <w:tmpl w:val="4A680D9A"/>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4E527630"/>
    <w:multiLevelType w:val="hybridMultilevel"/>
    <w:tmpl w:val="B3CC0D32"/>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51F90BD8"/>
    <w:multiLevelType w:val="hybridMultilevel"/>
    <w:tmpl w:val="3C5AB956"/>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558E6BAD"/>
    <w:multiLevelType w:val="hybridMultilevel"/>
    <w:tmpl w:val="256C01A8"/>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5F1C6D0F"/>
    <w:multiLevelType w:val="hybridMultilevel"/>
    <w:tmpl w:val="71FA01F6"/>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62FE6579"/>
    <w:multiLevelType w:val="hybridMultilevel"/>
    <w:tmpl w:val="5D7E1B14"/>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641431C0"/>
    <w:multiLevelType w:val="hybridMultilevel"/>
    <w:tmpl w:val="99E21AB6"/>
    <w:lvl w:ilvl="0" w:tplc="F1CA820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703452AA"/>
    <w:multiLevelType w:val="hybridMultilevel"/>
    <w:tmpl w:val="2AFC664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5"/>
  </w:num>
  <w:num w:numId="4">
    <w:abstractNumId w:val="3"/>
  </w:num>
  <w:num w:numId="5">
    <w:abstractNumId w:val="4"/>
  </w:num>
  <w:num w:numId="6">
    <w:abstractNumId w:val="7"/>
  </w:num>
  <w:num w:numId="7">
    <w:abstractNumId w:val="0"/>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63AF"/>
    <w:rsid w:val="00005E90"/>
    <w:rsid w:val="00014657"/>
    <w:rsid w:val="000168B2"/>
    <w:rsid w:val="00016F15"/>
    <w:rsid w:val="000337FB"/>
    <w:rsid w:val="000446CC"/>
    <w:rsid w:val="00044B43"/>
    <w:rsid w:val="00044DDB"/>
    <w:rsid w:val="00045E10"/>
    <w:rsid w:val="00052B8C"/>
    <w:rsid w:val="00067F6E"/>
    <w:rsid w:val="00071B73"/>
    <w:rsid w:val="000720B4"/>
    <w:rsid w:val="00072A16"/>
    <w:rsid w:val="00076957"/>
    <w:rsid w:val="00076CA5"/>
    <w:rsid w:val="000972EB"/>
    <w:rsid w:val="000A5B85"/>
    <w:rsid w:val="000B2E1D"/>
    <w:rsid w:val="000B2EB4"/>
    <w:rsid w:val="000D1844"/>
    <w:rsid w:val="000D7F2E"/>
    <w:rsid w:val="000F4393"/>
    <w:rsid w:val="000F5FA6"/>
    <w:rsid w:val="000F75FE"/>
    <w:rsid w:val="001074C9"/>
    <w:rsid w:val="00126DB0"/>
    <w:rsid w:val="00131701"/>
    <w:rsid w:val="00131B5A"/>
    <w:rsid w:val="00135077"/>
    <w:rsid w:val="00142FEC"/>
    <w:rsid w:val="00150CB8"/>
    <w:rsid w:val="001539A5"/>
    <w:rsid w:val="00163EF3"/>
    <w:rsid w:val="00171491"/>
    <w:rsid w:val="00186FDF"/>
    <w:rsid w:val="00195263"/>
    <w:rsid w:val="001B222B"/>
    <w:rsid w:val="001B3A4C"/>
    <w:rsid w:val="001C0E3D"/>
    <w:rsid w:val="001C1E8B"/>
    <w:rsid w:val="001C4E07"/>
    <w:rsid w:val="001D41D0"/>
    <w:rsid w:val="001D6619"/>
    <w:rsid w:val="001E6E94"/>
    <w:rsid w:val="00205D9D"/>
    <w:rsid w:val="0021265E"/>
    <w:rsid w:val="00220E80"/>
    <w:rsid w:val="00232800"/>
    <w:rsid w:val="00251022"/>
    <w:rsid w:val="00256D92"/>
    <w:rsid w:val="00261197"/>
    <w:rsid w:val="0026507D"/>
    <w:rsid w:val="002665D0"/>
    <w:rsid w:val="00281D76"/>
    <w:rsid w:val="00287888"/>
    <w:rsid w:val="002955DF"/>
    <w:rsid w:val="002A6D44"/>
    <w:rsid w:val="002B0FD3"/>
    <w:rsid w:val="002B5517"/>
    <w:rsid w:val="002C439C"/>
    <w:rsid w:val="002D1BC7"/>
    <w:rsid w:val="002D5DFA"/>
    <w:rsid w:val="002E309A"/>
    <w:rsid w:val="00304E1B"/>
    <w:rsid w:val="00322772"/>
    <w:rsid w:val="00330B0F"/>
    <w:rsid w:val="00330F03"/>
    <w:rsid w:val="00334395"/>
    <w:rsid w:val="00334DBD"/>
    <w:rsid w:val="0034525B"/>
    <w:rsid w:val="00355BA9"/>
    <w:rsid w:val="003578DD"/>
    <w:rsid w:val="00364CE1"/>
    <w:rsid w:val="003656B7"/>
    <w:rsid w:val="0036769C"/>
    <w:rsid w:val="00385F98"/>
    <w:rsid w:val="00387F33"/>
    <w:rsid w:val="0039096F"/>
    <w:rsid w:val="003937B7"/>
    <w:rsid w:val="003949E3"/>
    <w:rsid w:val="003B17E5"/>
    <w:rsid w:val="003B2F0C"/>
    <w:rsid w:val="003C7B4E"/>
    <w:rsid w:val="003D343E"/>
    <w:rsid w:val="003D749C"/>
    <w:rsid w:val="003F7BAD"/>
    <w:rsid w:val="00426A95"/>
    <w:rsid w:val="004339E2"/>
    <w:rsid w:val="00434B3E"/>
    <w:rsid w:val="00435984"/>
    <w:rsid w:val="00435D36"/>
    <w:rsid w:val="00447C91"/>
    <w:rsid w:val="004505F1"/>
    <w:rsid w:val="004642C6"/>
    <w:rsid w:val="00467AF3"/>
    <w:rsid w:val="00467D83"/>
    <w:rsid w:val="00471005"/>
    <w:rsid w:val="00472792"/>
    <w:rsid w:val="00472A5B"/>
    <w:rsid w:val="00473C29"/>
    <w:rsid w:val="00476FB4"/>
    <w:rsid w:val="00492133"/>
    <w:rsid w:val="004962E5"/>
    <w:rsid w:val="004B498F"/>
    <w:rsid w:val="004C3357"/>
    <w:rsid w:val="004E54B1"/>
    <w:rsid w:val="004E7368"/>
    <w:rsid w:val="004F175F"/>
    <w:rsid w:val="00500082"/>
    <w:rsid w:val="005014B8"/>
    <w:rsid w:val="00510E3E"/>
    <w:rsid w:val="00513CE8"/>
    <w:rsid w:val="0051496B"/>
    <w:rsid w:val="0052520E"/>
    <w:rsid w:val="00541E00"/>
    <w:rsid w:val="00542020"/>
    <w:rsid w:val="00553B6F"/>
    <w:rsid w:val="005557B7"/>
    <w:rsid w:val="00556ED6"/>
    <w:rsid w:val="00561232"/>
    <w:rsid w:val="00566947"/>
    <w:rsid w:val="0057595C"/>
    <w:rsid w:val="005775C2"/>
    <w:rsid w:val="005778AA"/>
    <w:rsid w:val="00580DB2"/>
    <w:rsid w:val="00590417"/>
    <w:rsid w:val="00595025"/>
    <w:rsid w:val="005A1D34"/>
    <w:rsid w:val="005B35B0"/>
    <w:rsid w:val="005C6023"/>
    <w:rsid w:val="005C6DC8"/>
    <w:rsid w:val="005E3FFF"/>
    <w:rsid w:val="005E4D16"/>
    <w:rsid w:val="005F3128"/>
    <w:rsid w:val="0060241B"/>
    <w:rsid w:val="00603F95"/>
    <w:rsid w:val="006213F7"/>
    <w:rsid w:val="00626CD5"/>
    <w:rsid w:val="00644AEC"/>
    <w:rsid w:val="006467E4"/>
    <w:rsid w:val="00650510"/>
    <w:rsid w:val="00655D4D"/>
    <w:rsid w:val="00661363"/>
    <w:rsid w:val="00665EC3"/>
    <w:rsid w:val="00692A58"/>
    <w:rsid w:val="00694E7C"/>
    <w:rsid w:val="006A0F88"/>
    <w:rsid w:val="006A21A2"/>
    <w:rsid w:val="006B16A8"/>
    <w:rsid w:val="006B1D75"/>
    <w:rsid w:val="006B3F2B"/>
    <w:rsid w:val="006B63A7"/>
    <w:rsid w:val="006C191D"/>
    <w:rsid w:val="006C39BE"/>
    <w:rsid w:val="006C3A76"/>
    <w:rsid w:val="006C5801"/>
    <w:rsid w:val="006C5A3D"/>
    <w:rsid w:val="006F297B"/>
    <w:rsid w:val="00700B07"/>
    <w:rsid w:val="00701E98"/>
    <w:rsid w:val="0070381B"/>
    <w:rsid w:val="00703D50"/>
    <w:rsid w:val="00707657"/>
    <w:rsid w:val="00713A61"/>
    <w:rsid w:val="00713DD1"/>
    <w:rsid w:val="00726A76"/>
    <w:rsid w:val="00731C76"/>
    <w:rsid w:val="00732B7F"/>
    <w:rsid w:val="00734DF2"/>
    <w:rsid w:val="00736EE7"/>
    <w:rsid w:val="00741D85"/>
    <w:rsid w:val="00754BB2"/>
    <w:rsid w:val="00783814"/>
    <w:rsid w:val="00783AB7"/>
    <w:rsid w:val="007A2E1C"/>
    <w:rsid w:val="007A3EF3"/>
    <w:rsid w:val="007B545E"/>
    <w:rsid w:val="007B59A9"/>
    <w:rsid w:val="007D1651"/>
    <w:rsid w:val="007D1C63"/>
    <w:rsid w:val="007D2F89"/>
    <w:rsid w:val="007D4E55"/>
    <w:rsid w:val="007D586E"/>
    <w:rsid w:val="007E1D87"/>
    <w:rsid w:val="007E27AA"/>
    <w:rsid w:val="007E342D"/>
    <w:rsid w:val="007E5444"/>
    <w:rsid w:val="007F318B"/>
    <w:rsid w:val="007F70C6"/>
    <w:rsid w:val="00800D71"/>
    <w:rsid w:val="0080618A"/>
    <w:rsid w:val="00811322"/>
    <w:rsid w:val="0081167A"/>
    <w:rsid w:val="00821C9B"/>
    <w:rsid w:val="00822093"/>
    <w:rsid w:val="008266D4"/>
    <w:rsid w:val="00832A0A"/>
    <w:rsid w:val="008333A8"/>
    <w:rsid w:val="00842EBB"/>
    <w:rsid w:val="008430AC"/>
    <w:rsid w:val="008521E4"/>
    <w:rsid w:val="00861987"/>
    <w:rsid w:val="0086411B"/>
    <w:rsid w:val="00864AF0"/>
    <w:rsid w:val="008806E4"/>
    <w:rsid w:val="00891402"/>
    <w:rsid w:val="00894F8F"/>
    <w:rsid w:val="00895CB6"/>
    <w:rsid w:val="00896BFB"/>
    <w:rsid w:val="008A1F74"/>
    <w:rsid w:val="008E1249"/>
    <w:rsid w:val="008F0A38"/>
    <w:rsid w:val="00904ED4"/>
    <w:rsid w:val="00910F3B"/>
    <w:rsid w:val="009119B9"/>
    <w:rsid w:val="00914144"/>
    <w:rsid w:val="00917CA3"/>
    <w:rsid w:val="00922B6E"/>
    <w:rsid w:val="00925F41"/>
    <w:rsid w:val="00931781"/>
    <w:rsid w:val="00941567"/>
    <w:rsid w:val="00945CFD"/>
    <w:rsid w:val="0096197D"/>
    <w:rsid w:val="009776B7"/>
    <w:rsid w:val="009824CE"/>
    <w:rsid w:val="009A1E67"/>
    <w:rsid w:val="009A65F4"/>
    <w:rsid w:val="009B0CAE"/>
    <w:rsid w:val="009B484E"/>
    <w:rsid w:val="009B4944"/>
    <w:rsid w:val="009B6A29"/>
    <w:rsid w:val="009C4547"/>
    <w:rsid w:val="009C55E6"/>
    <w:rsid w:val="009D64F6"/>
    <w:rsid w:val="009D703D"/>
    <w:rsid w:val="009E203C"/>
    <w:rsid w:val="009E7E75"/>
    <w:rsid w:val="009F1CD4"/>
    <w:rsid w:val="00A029FE"/>
    <w:rsid w:val="00A03AFD"/>
    <w:rsid w:val="00A26749"/>
    <w:rsid w:val="00A345D2"/>
    <w:rsid w:val="00A45471"/>
    <w:rsid w:val="00A472C6"/>
    <w:rsid w:val="00A538D6"/>
    <w:rsid w:val="00A5491E"/>
    <w:rsid w:val="00A6565B"/>
    <w:rsid w:val="00A6626D"/>
    <w:rsid w:val="00A6664E"/>
    <w:rsid w:val="00A66BC4"/>
    <w:rsid w:val="00A72ED0"/>
    <w:rsid w:val="00A817B3"/>
    <w:rsid w:val="00AB3C51"/>
    <w:rsid w:val="00AC1A26"/>
    <w:rsid w:val="00AC21DD"/>
    <w:rsid w:val="00AC7CB2"/>
    <w:rsid w:val="00AD06B0"/>
    <w:rsid w:val="00AD0FCD"/>
    <w:rsid w:val="00AE0406"/>
    <w:rsid w:val="00AE216D"/>
    <w:rsid w:val="00AE7CD4"/>
    <w:rsid w:val="00AF32CF"/>
    <w:rsid w:val="00AF743B"/>
    <w:rsid w:val="00B018FE"/>
    <w:rsid w:val="00B15A3D"/>
    <w:rsid w:val="00B20C9A"/>
    <w:rsid w:val="00B2468F"/>
    <w:rsid w:val="00B30658"/>
    <w:rsid w:val="00B6215F"/>
    <w:rsid w:val="00B6242F"/>
    <w:rsid w:val="00B64EE7"/>
    <w:rsid w:val="00B66F65"/>
    <w:rsid w:val="00B70D3A"/>
    <w:rsid w:val="00B73BCF"/>
    <w:rsid w:val="00B8523C"/>
    <w:rsid w:val="00B901A1"/>
    <w:rsid w:val="00BA27F9"/>
    <w:rsid w:val="00BA5023"/>
    <w:rsid w:val="00BA71D6"/>
    <w:rsid w:val="00BC550C"/>
    <w:rsid w:val="00BC6A91"/>
    <w:rsid w:val="00BC76ED"/>
    <w:rsid w:val="00BD2A6E"/>
    <w:rsid w:val="00BE0706"/>
    <w:rsid w:val="00BE2B97"/>
    <w:rsid w:val="00BE58AE"/>
    <w:rsid w:val="00BE6B57"/>
    <w:rsid w:val="00BF0FF9"/>
    <w:rsid w:val="00BF2B6C"/>
    <w:rsid w:val="00BF5430"/>
    <w:rsid w:val="00C04BDD"/>
    <w:rsid w:val="00C05A0C"/>
    <w:rsid w:val="00C21605"/>
    <w:rsid w:val="00C22A90"/>
    <w:rsid w:val="00C43B4F"/>
    <w:rsid w:val="00C43D27"/>
    <w:rsid w:val="00C81136"/>
    <w:rsid w:val="00C92FC6"/>
    <w:rsid w:val="00CA6F49"/>
    <w:rsid w:val="00CC09D0"/>
    <w:rsid w:val="00CF41B1"/>
    <w:rsid w:val="00D05C74"/>
    <w:rsid w:val="00D12011"/>
    <w:rsid w:val="00D15BB2"/>
    <w:rsid w:val="00D22AFA"/>
    <w:rsid w:val="00D23B55"/>
    <w:rsid w:val="00D27D2B"/>
    <w:rsid w:val="00D47BC5"/>
    <w:rsid w:val="00D75A84"/>
    <w:rsid w:val="00D817E7"/>
    <w:rsid w:val="00D84103"/>
    <w:rsid w:val="00D90207"/>
    <w:rsid w:val="00D935EF"/>
    <w:rsid w:val="00DB4E81"/>
    <w:rsid w:val="00DC449B"/>
    <w:rsid w:val="00DC7DC5"/>
    <w:rsid w:val="00DD4224"/>
    <w:rsid w:val="00DD63AF"/>
    <w:rsid w:val="00DE14DF"/>
    <w:rsid w:val="00DF31AE"/>
    <w:rsid w:val="00E0033F"/>
    <w:rsid w:val="00E03611"/>
    <w:rsid w:val="00E1135B"/>
    <w:rsid w:val="00E12EBE"/>
    <w:rsid w:val="00E22C6C"/>
    <w:rsid w:val="00E24D52"/>
    <w:rsid w:val="00E254A1"/>
    <w:rsid w:val="00E307A7"/>
    <w:rsid w:val="00E32BA5"/>
    <w:rsid w:val="00E53464"/>
    <w:rsid w:val="00E54BD9"/>
    <w:rsid w:val="00E57256"/>
    <w:rsid w:val="00E7016A"/>
    <w:rsid w:val="00E72687"/>
    <w:rsid w:val="00E80FB8"/>
    <w:rsid w:val="00EA36AA"/>
    <w:rsid w:val="00EA7DA0"/>
    <w:rsid w:val="00EB2F96"/>
    <w:rsid w:val="00EB704F"/>
    <w:rsid w:val="00EC5990"/>
    <w:rsid w:val="00EC69E8"/>
    <w:rsid w:val="00EC72B1"/>
    <w:rsid w:val="00EC7F78"/>
    <w:rsid w:val="00EE7A9F"/>
    <w:rsid w:val="00EF3A21"/>
    <w:rsid w:val="00EF5441"/>
    <w:rsid w:val="00F00774"/>
    <w:rsid w:val="00F16446"/>
    <w:rsid w:val="00F342AE"/>
    <w:rsid w:val="00F3661F"/>
    <w:rsid w:val="00F3670F"/>
    <w:rsid w:val="00F4463F"/>
    <w:rsid w:val="00F47AA0"/>
    <w:rsid w:val="00F5584E"/>
    <w:rsid w:val="00F750B0"/>
    <w:rsid w:val="00F75ED1"/>
    <w:rsid w:val="00F80C10"/>
    <w:rsid w:val="00F810D1"/>
    <w:rsid w:val="00F92889"/>
    <w:rsid w:val="00F93BF3"/>
    <w:rsid w:val="00FA530D"/>
    <w:rsid w:val="00FB6122"/>
    <w:rsid w:val="00FC0A47"/>
    <w:rsid w:val="00FC27A8"/>
    <w:rsid w:val="00FC438A"/>
    <w:rsid w:val="00FD75C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3C93A3D4"/>
  <w15:chartTrackingRefBased/>
  <w15:docId w15:val="{5708FD95-4067-D645-9383-81198AA5C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pPr>
      <w:suppressAutoHyphens/>
    </w:pPr>
    <w:rPr>
      <w:lang w:eastAsia="zh-CN"/>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2z0">
    <w:name w:val="WW8Num2z0"/>
    <w:rPr>
      <w:rFonts w:ascii="Symbol" w:hAnsi="Symbol" w:cs="Symbol" w:hint="default"/>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Carpredefinitoparagrafo1">
    <w:name w:val="Car. predefinito paragrafo1"/>
  </w:style>
  <w:style w:type="character" w:styleId="Collegamentoipertestuale">
    <w:name w:val="Hyperlink"/>
    <w:rPr>
      <w:color w:val="0000FF"/>
      <w:u w:val="single"/>
    </w:rPr>
  </w:style>
  <w:style w:type="character" w:styleId="Numeropagina">
    <w:name w:val="page number"/>
    <w:basedOn w:val="Carpredefinitoparagrafo1"/>
  </w:style>
  <w:style w:type="character" w:customStyle="1" w:styleId="Menzionenonrisolta1">
    <w:name w:val="Menzione non risolta1"/>
    <w:rPr>
      <w:color w:val="605E5C"/>
      <w:shd w:val="clear" w:color="auto" w:fill="E1DFDD"/>
    </w:rPr>
  </w:style>
  <w:style w:type="character" w:customStyle="1" w:styleId="TitoloCarattere">
    <w:name w:val="Titolo Carattere"/>
    <w:rPr>
      <w:rFonts w:ascii="Calibri Light" w:eastAsia="Times New Roman" w:hAnsi="Calibri Light" w:cs="Times New Roman"/>
      <w:b/>
      <w:bCs/>
      <w:kern w:val="2"/>
      <w:sz w:val="32"/>
      <w:szCs w:val="32"/>
    </w:rPr>
  </w:style>
  <w:style w:type="character" w:customStyle="1" w:styleId="SottotitoloCarattere">
    <w:name w:val="Sottotitolo Carattere"/>
    <w:rPr>
      <w:rFonts w:ascii="Calibri Light" w:eastAsia="Times New Roman" w:hAnsi="Calibri Light" w:cs="Times New Roman"/>
      <w:sz w:val="24"/>
      <w:szCs w:val="24"/>
    </w:rPr>
  </w:style>
  <w:style w:type="character" w:styleId="Enfasigrassetto">
    <w:name w:val="Strong"/>
    <w:uiPriority w:val="22"/>
    <w:qFormat/>
    <w:rPr>
      <w:b/>
      <w:bCs/>
    </w:rPr>
  </w:style>
  <w:style w:type="paragraph" w:customStyle="1" w:styleId="Titolo1">
    <w:name w:val="Titolo1"/>
    <w:basedOn w:val="Normale"/>
    <w:next w:val="Normale"/>
    <w:pPr>
      <w:spacing w:before="240" w:after="60"/>
      <w:jc w:val="center"/>
    </w:pPr>
    <w:rPr>
      <w:rFonts w:ascii="Calibri Light" w:hAnsi="Calibri Light"/>
      <w:b/>
      <w:bCs/>
      <w:kern w:val="2"/>
      <w:sz w:val="32"/>
      <w:szCs w:val="32"/>
    </w:rPr>
  </w:style>
  <w:style w:type="paragraph" w:styleId="Corpotesto">
    <w:name w:val="Body Text"/>
    <w:basedOn w:val="Normale"/>
    <w:pPr>
      <w:spacing w:after="140" w:line="276" w:lineRule="auto"/>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sz w:val="24"/>
      <w:szCs w:val="24"/>
    </w:rPr>
  </w:style>
  <w:style w:type="paragraph" w:customStyle="1" w:styleId="Indice">
    <w:name w:val="Indice"/>
    <w:basedOn w:val="Normale"/>
    <w:pPr>
      <w:suppressLineNumbers/>
    </w:pPr>
    <w:rPr>
      <w:rFonts w:cs="Arial"/>
    </w:rPr>
  </w:style>
  <w:style w:type="paragraph" w:customStyle="1" w:styleId="Intestazioneepidipagina">
    <w:name w:val="Intestazione e piè di pagina"/>
    <w:basedOn w:val="Normale"/>
    <w:pPr>
      <w:suppressLineNumbers/>
      <w:tabs>
        <w:tab w:val="center" w:pos="4819"/>
        <w:tab w:val="right" w:pos="9638"/>
      </w:tabs>
    </w:pPr>
  </w:style>
  <w:style w:type="paragraph" w:styleId="Intestazione">
    <w:name w:val="header"/>
    <w:basedOn w:val="Normale"/>
    <w:pPr>
      <w:tabs>
        <w:tab w:val="center" w:pos="4819"/>
        <w:tab w:val="right" w:pos="9638"/>
      </w:tabs>
    </w:pPr>
  </w:style>
  <w:style w:type="paragraph" w:styleId="Pidipagina">
    <w:name w:val="footer"/>
    <w:basedOn w:val="Normale"/>
    <w:pPr>
      <w:tabs>
        <w:tab w:val="center" w:pos="4819"/>
        <w:tab w:val="right" w:pos="9638"/>
      </w:tabs>
    </w:pPr>
  </w:style>
  <w:style w:type="paragraph" w:customStyle="1" w:styleId="Corpodeltesto31">
    <w:name w:val="Corpo del testo 31"/>
    <w:basedOn w:val="Normale"/>
    <w:pPr>
      <w:spacing w:after="120"/>
    </w:pPr>
    <w:rPr>
      <w:sz w:val="16"/>
      <w:szCs w:val="16"/>
    </w:rPr>
  </w:style>
  <w:style w:type="paragraph" w:styleId="NormaleWeb">
    <w:name w:val="Normal (Web)"/>
    <w:basedOn w:val="Normale"/>
    <w:pPr>
      <w:spacing w:before="100" w:after="100"/>
    </w:pPr>
    <w:rPr>
      <w:rFonts w:eastAsia="MS Mincho"/>
      <w:kern w:val="2"/>
      <w:sz w:val="24"/>
      <w:szCs w:val="24"/>
      <w:lang w:eastAsia="ja-JP"/>
    </w:rPr>
  </w:style>
  <w:style w:type="paragraph" w:styleId="Sottotitolo">
    <w:name w:val="Subtitle"/>
    <w:basedOn w:val="Normale"/>
    <w:next w:val="Normale"/>
    <w:qFormat/>
    <w:pPr>
      <w:spacing w:after="60"/>
      <w:jc w:val="center"/>
    </w:pPr>
    <w:rPr>
      <w:rFonts w:ascii="Calibri Light" w:hAnsi="Calibri Light"/>
      <w:sz w:val="24"/>
      <w:szCs w:val="24"/>
    </w:rPr>
  </w:style>
  <w:style w:type="paragraph" w:customStyle="1" w:styleId="Contenutotabella">
    <w:name w:val="Contenuto tabella"/>
    <w:basedOn w:val="Normale"/>
    <w:pPr>
      <w:widowControl w:val="0"/>
      <w:suppressLineNumbers/>
    </w:pPr>
  </w:style>
  <w:style w:type="paragraph" w:customStyle="1" w:styleId="Titolotabella">
    <w:name w:val="Titolo tabella"/>
    <w:basedOn w:val="Contenutotabella"/>
    <w:pPr>
      <w:jc w:val="center"/>
    </w:pPr>
    <w:rPr>
      <w:b/>
      <w:bCs/>
    </w:rPr>
  </w:style>
  <w:style w:type="table" w:styleId="Grigliatabella">
    <w:name w:val="Table Grid"/>
    <w:basedOn w:val="Tabellanormale"/>
    <w:uiPriority w:val="39"/>
    <w:rsid w:val="00387F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171491"/>
    <w:pPr>
      <w:ind w:left="720"/>
      <w:contextualSpacing/>
    </w:pPr>
  </w:style>
  <w:style w:type="character" w:styleId="Collegamentovisitato">
    <w:name w:val="FollowedHyperlink"/>
    <w:basedOn w:val="Carpredefinitoparagrafo"/>
    <w:uiPriority w:val="99"/>
    <w:semiHidden/>
    <w:unhideWhenUsed/>
    <w:rsid w:val="007D4E55"/>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9799361">
      <w:bodyDiv w:val="1"/>
      <w:marLeft w:val="0"/>
      <w:marRight w:val="0"/>
      <w:marTop w:val="0"/>
      <w:marBottom w:val="0"/>
      <w:divBdr>
        <w:top w:val="none" w:sz="0" w:space="0" w:color="auto"/>
        <w:left w:val="none" w:sz="0" w:space="0" w:color="auto"/>
        <w:bottom w:val="none" w:sz="0" w:space="0" w:color="auto"/>
        <w:right w:val="none" w:sz="0" w:space="0" w:color="auto"/>
      </w:divBdr>
      <w:divsChild>
        <w:div w:id="164326131">
          <w:marLeft w:val="0"/>
          <w:marRight w:val="0"/>
          <w:marTop w:val="0"/>
          <w:marBottom w:val="0"/>
          <w:divBdr>
            <w:top w:val="none" w:sz="0" w:space="0" w:color="auto"/>
            <w:left w:val="none" w:sz="0" w:space="0" w:color="auto"/>
            <w:bottom w:val="none" w:sz="0" w:space="0" w:color="auto"/>
            <w:right w:val="none" w:sz="0" w:space="0" w:color="auto"/>
          </w:divBdr>
          <w:divsChild>
            <w:div w:id="963804386">
              <w:marLeft w:val="0"/>
              <w:marRight w:val="0"/>
              <w:marTop w:val="0"/>
              <w:marBottom w:val="0"/>
              <w:divBdr>
                <w:top w:val="none" w:sz="0" w:space="0" w:color="auto"/>
                <w:left w:val="none" w:sz="0" w:space="0" w:color="auto"/>
                <w:bottom w:val="none" w:sz="0" w:space="0" w:color="auto"/>
                <w:right w:val="none" w:sz="0" w:space="0" w:color="auto"/>
              </w:divBdr>
              <w:divsChild>
                <w:div w:id="1860073755">
                  <w:marLeft w:val="0"/>
                  <w:marRight w:val="0"/>
                  <w:marTop w:val="0"/>
                  <w:marBottom w:val="0"/>
                  <w:divBdr>
                    <w:top w:val="none" w:sz="0" w:space="0" w:color="auto"/>
                    <w:left w:val="none" w:sz="0" w:space="0" w:color="auto"/>
                    <w:bottom w:val="none" w:sz="0" w:space="0" w:color="auto"/>
                    <w:right w:val="none" w:sz="0" w:space="0" w:color="auto"/>
                  </w:divBdr>
                  <w:divsChild>
                    <w:div w:id="825974520">
                      <w:marLeft w:val="0"/>
                      <w:marRight w:val="0"/>
                      <w:marTop w:val="0"/>
                      <w:marBottom w:val="0"/>
                      <w:divBdr>
                        <w:top w:val="none" w:sz="0" w:space="0" w:color="auto"/>
                        <w:left w:val="none" w:sz="0" w:space="0" w:color="auto"/>
                        <w:bottom w:val="none" w:sz="0" w:space="0" w:color="auto"/>
                        <w:right w:val="none" w:sz="0" w:space="0" w:color="auto"/>
                      </w:divBdr>
                      <w:divsChild>
                        <w:div w:id="1776711619">
                          <w:marLeft w:val="0"/>
                          <w:marRight w:val="0"/>
                          <w:marTop w:val="0"/>
                          <w:marBottom w:val="0"/>
                          <w:divBdr>
                            <w:top w:val="none" w:sz="0" w:space="0" w:color="auto"/>
                            <w:left w:val="none" w:sz="0" w:space="0" w:color="auto"/>
                            <w:bottom w:val="none" w:sz="0" w:space="0" w:color="auto"/>
                            <w:right w:val="none" w:sz="0" w:space="0" w:color="auto"/>
                          </w:divBdr>
                          <w:divsChild>
                            <w:div w:id="643701991">
                              <w:marLeft w:val="0"/>
                              <w:marRight w:val="0"/>
                              <w:marTop w:val="0"/>
                              <w:marBottom w:val="0"/>
                              <w:divBdr>
                                <w:top w:val="none" w:sz="0" w:space="0" w:color="auto"/>
                                <w:left w:val="none" w:sz="0" w:space="0" w:color="auto"/>
                                <w:bottom w:val="none" w:sz="0" w:space="0" w:color="auto"/>
                                <w:right w:val="none" w:sz="0" w:space="0" w:color="auto"/>
                              </w:divBdr>
                              <w:divsChild>
                                <w:div w:id="8568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4049645">
      <w:bodyDiv w:val="1"/>
      <w:marLeft w:val="0"/>
      <w:marRight w:val="0"/>
      <w:marTop w:val="0"/>
      <w:marBottom w:val="0"/>
      <w:divBdr>
        <w:top w:val="none" w:sz="0" w:space="0" w:color="auto"/>
        <w:left w:val="none" w:sz="0" w:space="0" w:color="auto"/>
        <w:bottom w:val="none" w:sz="0" w:space="0" w:color="auto"/>
        <w:right w:val="none" w:sz="0" w:space="0" w:color="auto"/>
      </w:divBdr>
      <w:divsChild>
        <w:div w:id="1142045380">
          <w:marLeft w:val="0"/>
          <w:marRight w:val="0"/>
          <w:marTop w:val="0"/>
          <w:marBottom w:val="0"/>
          <w:divBdr>
            <w:top w:val="none" w:sz="0" w:space="0" w:color="auto"/>
            <w:left w:val="none" w:sz="0" w:space="0" w:color="auto"/>
            <w:bottom w:val="none" w:sz="0" w:space="0" w:color="auto"/>
            <w:right w:val="none" w:sz="0" w:space="0" w:color="auto"/>
          </w:divBdr>
        </w:div>
        <w:div w:id="176621641">
          <w:marLeft w:val="0"/>
          <w:marRight w:val="0"/>
          <w:marTop w:val="0"/>
          <w:marBottom w:val="0"/>
          <w:divBdr>
            <w:top w:val="none" w:sz="0" w:space="0" w:color="auto"/>
            <w:left w:val="none" w:sz="0" w:space="0" w:color="auto"/>
            <w:bottom w:val="none" w:sz="0" w:space="0" w:color="auto"/>
            <w:right w:val="none" w:sz="0" w:space="0" w:color="auto"/>
          </w:divBdr>
        </w:div>
        <w:div w:id="1954552680">
          <w:marLeft w:val="0"/>
          <w:marRight w:val="0"/>
          <w:marTop w:val="0"/>
          <w:marBottom w:val="0"/>
          <w:divBdr>
            <w:top w:val="none" w:sz="0" w:space="0" w:color="auto"/>
            <w:left w:val="none" w:sz="0" w:space="0" w:color="auto"/>
            <w:bottom w:val="none" w:sz="0" w:space="0" w:color="auto"/>
            <w:right w:val="none" w:sz="0" w:space="0" w:color="auto"/>
          </w:divBdr>
        </w:div>
        <w:div w:id="1014649192">
          <w:marLeft w:val="0"/>
          <w:marRight w:val="0"/>
          <w:marTop w:val="0"/>
          <w:marBottom w:val="0"/>
          <w:divBdr>
            <w:top w:val="none" w:sz="0" w:space="0" w:color="auto"/>
            <w:left w:val="none" w:sz="0" w:space="0" w:color="auto"/>
            <w:bottom w:val="none" w:sz="0" w:space="0" w:color="auto"/>
            <w:right w:val="none" w:sz="0" w:space="0" w:color="auto"/>
          </w:divBdr>
        </w:div>
      </w:divsChild>
    </w:div>
    <w:div w:id="594284788">
      <w:bodyDiv w:val="1"/>
      <w:marLeft w:val="0"/>
      <w:marRight w:val="0"/>
      <w:marTop w:val="0"/>
      <w:marBottom w:val="0"/>
      <w:divBdr>
        <w:top w:val="none" w:sz="0" w:space="0" w:color="auto"/>
        <w:left w:val="none" w:sz="0" w:space="0" w:color="auto"/>
        <w:bottom w:val="none" w:sz="0" w:space="0" w:color="auto"/>
        <w:right w:val="none" w:sz="0" w:space="0" w:color="auto"/>
      </w:divBdr>
    </w:div>
    <w:div w:id="709770323">
      <w:bodyDiv w:val="1"/>
      <w:marLeft w:val="0"/>
      <w:marRight w:val="0"/>
      <w:marTop w:val="0"/>
      <w:marBottom w:val="0"/>
      <w:divBdr>
        <w:top w:val="none" w:sz="0" w:space="0" w:color="auto"/>
        <w:left w:val="none" w:sz="0" w:space="0" w:color="auto"/>
        <w:bottom w:val="none" w:sz="0" w:space="0" w:color="auto"/>
        <w:right w:val="none" w:sz="0" w:space="0" w:color="auto"/>
      </w:divBdr>
      <w:divsChild>
        <w:div w:id="1858807280">
          <w:marLeft w:val="0"/>
          <w:marRight w:val="0"/>
          <w:marTop w:val="0"/>
          <w:marBottom w:val="0"/>
          <w:divBdr>
            <w:top w:val="none" w:sz="0" w:space="0" w:color="auto"/>
            <w:left w:val="none" w:sz="0" w:space="0" w:color="auto"/>
            <w:bottom w:val="none" w:sz="0" w:space="0" w:color="auto"/>
            <w:right w:val="none" w:sz="0" w:space="0" w:color="auto"/>
          </w:divBdr>
          <w:divsChild>
            <w:div w:id="1856335722">
              <w:marLeft w:val="0"/>
              <w:marRight w:val="0"/>
              <w:marTop w:val="0"/>
              <w:marBottom w:val="0"/>
              <w:divBdr>
                <w:top w:val="none" w:sz="0" w:space="0" w:color="auto"/>
                <w:left w:val="none" w:sz="0" w:space="0" w:color="auto"/>
                <w:bottom w:val="none" w:sz="0" w:space="0" w:color="auto"/>
                <w:right w:val="none" w:sz="0" w:space="0" w:color="auto"/>
              </w:divBdr>
              <w:divsChild>
                <w:div w:id="381902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729572">
          <w:marLeft w:val="0"/>
          <w:marRight w:val="0"/>
          <w:marTop w:val="0"/>
          <w:marBottom w:val="0"/>
          <w:divBdr>
            <w:top w:val="none" w:sz="0" w:space="0" w:color="auto"/>
            <w:left w:val="none" w:sz="0" w:space="0" w:color="auto"/>
            <w:bottom w:val="none" w:sz="0" w:space="0" w:color="auto"/>
            <w:right w:val="none" w:sz="0" w:space="0" w:color="auto"/>
          </w:divBdr>
          <w:divsChild>
            <w:div w:id="142360153">
              <w:marLeft w:val="0"/>
              <w:marRight w:val="0"/>
              <w:marTop w:val="0"/>
              <w:marBottom w:val="0"/>
              <w:divBdr>
                <w:top w:val="none" w:sz="0" w:space="0" w:color="auto"/>
                <w:left w:val="none" w:sz="0" w:space="0" w:color="auto"/>
                <w:bottom w:val="none" w:sz="0" w:space="0" w:color="auto"/>
                <w:right w:val="none" w:sz="0" w:space="0" w:color="auto"/>
              </w:divBdr>
              <w:divsChild>
                <w:div w:id="91973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3701174">
      <w:bodyDiv w:val="1"/>
      <w:marLeft w:val="0"/>
      <w:marRight w:val="0"/>
      <w:marTop w:val="0"/>
      <w:marBottom w:val="0"/>
      <w:divBdr>
        <w:top w:val="none" w:sz="0" w:space="0" w:color="auto"/>
        <w:left w:val="none" w:sz="0" w:space="0" w:color="auto"/>
        <w:bottom w:val="none" w:sz="0" w:space="0" w:color="auto"/>
        <w:right w:val="none" w:sz="0" w:space="0" w:color="auto"/>
      </w:divBdr>
      <w:divsChild>
        <w:div w:id="1718580100">
          <w:marLeft w:val="0"/>
          <w:marRight w:val="0"/>
          <w:marTop w:val="0"/>
          <w:marBottom w:val="0"/>
          <w:divBdr>
            <w:top w:val="none" w:sz="0" w:space="0" w:color="auto"/>
            <w:left w:val="none" w:sz="0" w:space="0" w:color="auto"/>
            <w:bottom w:val="none" w:sz="0" w:space="0" w:color="auto"/>
            <w:right w:val="none" w:sz="0" w:space="0" w:color="auto"/>
          </w:divBdr>
        </w:div>
      </w:divsChild>
    </w:div>
    <w:div w:id="842092143">
      <w:bodyDiv w:val="1"/>
      <w:marLeft w:val="0"/>
      <w:marRight w:val="0"/>
      <w:marTop w:val="0"/>
      <w:marBottom w:val="0"/>
      <w:divBdr>
        <w:top w:val="none" w:sz="0" w:space="0" w:color="auto"/>
        <w:left w:val="none" w:sz="0" w:space="0" w:color="auto"/>
        <w:bottom w:val="none" w:sz="0" w:space="0" w:color="auto"/>
        <w:right w:val="none" w:sz="0" w:space="0" w:color="auto"/>
      </w:divBdr>
    </w:div>
    <w:div w:id="914314000">
      <w:bodyDiv w:val="1"/>
      <w:marLeft w:val="0"/>
      <w:marRight w:val="0"/>
      <w:marTop w:val="0"/>
      <w:marBottom w:val="0"/>
      <w:divBdr>
        <w:top w:val="none" w:sz="0" w:space="0" w:color="auto"/>
        <w:left w:val="none" w:sz="0" w:space="0" w:color="auto"/>
        <w:bottom w:val="none" w:sz="0" w:space="0" w:color="auto"/>
        <w:right w:val="none" w:sz="0" w:space="0" w:color="auto"/>
      </w:divBdr>
      <w:divsChild>
        <w:div w:id="919798912">
          <w:marLeft w:val="0"/>
          <w:marRight w:val="0"/>
          <w:marTop w:val="0"/>
          <w:marBottom w:val="0"/>
          <w:divBdr>
            <w:top w:val="none" w:sz="0" w:space="0" w:color="auto"/>
            <w:left w:val="none" w:sz="0" w:space="0" w:color="auto"/>
            <w:bottom w:val="none" w:sz="0" w:space="0" w:color="auto"/>
            <w:right w:val="none" w:sz="0" w:space="0" w:color="auto"/>
          </w:divBdr>
          <w:divsChild>
            <w:div w:id="963730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625830">
      <w:bodyDiv w:val="1"/>
      <w:marLeft w:val="0"/>
      <w:marRight w:val="0"/>
      <w:marTop w:val="0"/>
      <w:marBottom w:val="0"/>
      <w:divBdr>
        <w:top w:val="none" w:sz="0" w:space="0" w:color="auto"/>
        <w:left w:val="none" w:sz="0" w:space="0" w:color="auto"/>
        <w:bottom w:val="none" w:sz="0" w:space="0" w:color="auto"/>
        <w:right w:val="none" w:sz="0" w:space="0" w:color="auto"/>
      </w:divBdr>
    </w:div>
    <w:div w:id="1147823588">
      <w:bodyDiv w:val="1"/>
      <w:marLeft w:val="0"/>
      <w:marRight w:val="0"/>
      <w:marTop w:val="0"/>
      <w:marBottom w:val="0"/>
      <w:divBdr>
        <w:top w:val="none" w:sz="0" w:space="0" w:color="auto"/>
        <w:left w:val="none" w:sz="0" w:space="0" w:color="auto"/>
        <w:bottom w:val="none" w:sz="0" w:space="0" w:color="auto"/>
        <w:right w:val="none" w:sz="0" w:space="0" w:color="auto"/>
      </w:divBdr>
      <w:divsChild>
        <w:div w:id="187448950">
          <w:marLeft w:val="0"/>
          <w:marRight w:val="0"/>
          <w:marTop w:val="0"/>
          <w:marBottom w:val="0"/>
          <w:divBdr>
            <w:top w:val="none" w:sz="0" w:space="0" w:color="auto"/>
            <w:left w:val="none" w:sz="0" w:space="0" w:color="auto"/>
            <w:bottom w:val="none" w:sz="0" w:space="0" w:color="auto"/>
            <w:right w:val="none" w:sz="0" w:space="0" w:color="auto"/>
          </w:divBdr>
          <w:divsChild>
            <w:div w:id="121091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201946">
      <w:bodyDiv w:val="1"/>
      <w:marLeft w:val="0"/>
      <w:marRight w:val="0"/>
      <w:marTop w:val="0"/>
      <w:marBottom w:val="0"/>
      <w:divBdr>
        <w:top w:val="none" w:sz="0" w:space="0" w:color="auto"/>
        <w:left w:val="none" w:sz="0" w:space="0" w:color="auto"/>
        <w:bottom w:val="none" w:sz="0" w:space="0" w:color="auto"/>
        <w:right w:val="none" w:sz="0" w:space="0" w:color="auto"/>
      </w:divBdr>
      <w:divsChild>
        <w:div w:id="1139882232">
          <w:marLeft w:val="0"/>
          <w:marRight w:val="0"/>
          <w:marTop w:val="0"/>
          <w:marBottom w:val="0"/>
          <w:divBdr>
            <w:top w:val="none" w:sz="0" w:space="0" w:color="auto"/>
            <w:left w:val="none" w:sz="0" w:space="0" w:color="auto"/>
            <w:bottom w:val="none" w:sz="0" w:space="0" w:color="auto"/>
            <w:right w:val="none" w:sz="0" w:space="0" w:color="auto"/>
          </w:divBdr>
        </w:div>
        <w:div w:id="149835362">
          <w:marLeft w:val="0"/>
          <w:marRight w:val="0"/>
          <w:marTop w:val="0"/>
          <w:marBottom w:val="0"/>
          <w:divBdr>
            <w:top w:val="none" w:sz="0" w:space="0" w:color="auto"/>
            <w:left w:val="none" w:sz="0" w:space="0" w:color="auto"/>
            <w:bottom w:val="none" w:sz="0" w:space="0" w:color="auto"/>
            <w:right w:val="none" w:sz="0" w:space="0" w:color="auto"/>
          </w:divBdr>
        </w:div>
        <w:div w:id="786433823">
          <w:marLeft w:val="0"/>
          <w:marRight w:val="0"/>
          <w:marTop w:val="0"/>
          <w:marBottom w:val="0"/>
          <w:divBdr>
            <w:top w:val="none" w:sz="0" w:space="0" w:color="auto"/>
            <w:left w:val="none" w:sz="0" w:space="0" w:color="auto"/>
            <w:bottom w:val="none" w:sz="0" w:space="0" w:color="auto"/>
            <w:right w:val="none" w:sz="0" w:space="0" w:color="auto"/>
          </w:divBdr>
        </w:div>
      </w:divsChild>
    </w:div>
    <w:div w:id="1576621149">
      <w:bodyDiv w:val="1"/>
      <w:marLeft w:val="0"/>
      <w:marRight w:val="0"/>
      <w:marTop w:val="0"/>
      <w:marBottom w:val="0"/>
      <w:divBdr>
        <w:top w:val="none" w:sz="0" w:space="0" w:color="auto"/>
        <w:left w:val="none" w:sz="0" w:space="0" w:color="auto"/>
        <w:bottom w:val="none" w:sz="0" w:space="0" w:color="auto"/>
        <w:right w:val="none" w:sz="0" w:space="0" w:color="auto"/>
      </w:divBdr>
    </w:div>
    <w:div w:id="1600286765">
      <w:bodyDiv w:val="1"/>
      <w:marLeft w:val="0"/>
      <w:marRight w:val="0"/>
      <w:marTop w:val="0"/>
      <w:marBottom w:val="0"/>
      <w:divBdr>
        <w:top w:val="none" w:sz="0" w:space="0" w:color="auto"/>
        <w:left w:val="none" w:sz="0" w:space="0" w:color="auto"/>
        <w:bottom w:val="none" w:sz="0" w:space="0" w:color="auto"/>
        <w:right w:val="none" w:sz="0" w:space="0" w:color="auto"/>
      </w:divBdr>
      <w:divsChild>
        <w:div w:id="545722391">
          <w:marLeft w:val="0"/>
          <w:marRight w:val="0"/>
          <w:marTop w:val="0"/>
          <w:marBottom w:val="0"/>
          <w:divBdr>
            <w:top w:val="none" w:sz="0" w:space="0" w:color="auto"/>
            <w:left w:val="none" w:sz="0" w:space="0" w:color="auto"/>
            <w:bottom w:val="none" w:sz="0" w:space="0" w:color="auto"/>
            <w:right w:val="none" w:sz="0" w:space="0" w:color="auto"/>
          </w:divBdr>
          <w:divsChild>
            <w:div w:id="811218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0646503">
      <w:bodyDiv w:val="1"/>
      <w:marLeft w:val="0"/>
      <w:marRight w:val="0"/>
      <w:marTop w:val="0"/>
      <w:marBottom w:val="0"/>
      <w:divBdr>
        <w:top w:val="none" w:sz="0" w:space="0" w:color="auto"/>
        <w:left w:val="none" w:sz="0" w:space="0" w:color="auto"/>
        <w:bottom w:val="none" w:sz="0" w:space="0" w:color="auto"/>
        <w:right w:val="none" w:sz="0" w:space="0" w:color="auto"/>
      </w:divBdr>
      <w:divsChild>
        <w:div w:id="1672835601">
          <w:marLeft w:val="0"/>
          <w:marRight w:val="0"/>
          <w:marTop w:val="0"/>
          <w:marBottom w:val="0"/>
          <w:divBdr>
            <w:top w:val="none" w:sz="0" w:space="0" w:color="auto"/>
            <w:left w:val="none" w:sz="0" w:space="0" w:color="auto"/>
            <w:bottom w:val="none" w:sz="0" w:space="0" w:color="auto"/>
            <w:right w:val="none" w:sz="0" w:space="0" w:color="auto"/>
          </w:divBdr>
        </w:div>
        <w:div w:id="1718820269">
          <w:marLeft w:val="0"/>
          <w:marRight w:val="0"/>
          <w:marTop w:val="0"/>
          <w:marBottom w:val="0"/>
          <w:divBdr>
            <w:top w:val="none" w:sz="0" w:space="0" w:color="auto"/>
            <w:left w:val="none" w:sz="0" w:space="0" w:color="auto"/>
            <w:bottom w:val="none" w:sz="0" w:space="0" w:color="auto"/>
            <w:right w:val="none" w:sz="0" w:space="0" w:color="auto"/>
          </w:divBdr>
          <w:divsChild>
            <w:div w:id="1623031583">
              <w:marLeft w:val="0"/>
              <w:marRight w:val="0"/>
              <w:marTop w:val="0"/>
              <w:marBottom w:val="0"/>
              <w:divBdr>
                <w:top w:val="none" w:sz="0" w:space="0" w:color="auto"/>
                <w:left w:val="none" w:sz="0" w:space="0" w:color="auto"/>
                <w:bottom w:val="none" w:sz="0" w:space="0" w:color="auto"/>
                <w:right w:val="none" w:sz="0" w:space="0" w:color="auto"/>
              </w:divBdr>
              <w:divsChild>
                <w:div w:id="154247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5104548">
      <w:bodyDiv w:val="1"/>
      <w:marLeft w:val="0"/>
      <w:marRight w:val="0"/>
      <w:marTop w:val="0"/>
      <w:marBottom w:val="0"/>
      <w:divBdr>
        <w:top w:val="none" w:sz="0" w:space="0" w:color="auto"/>
        <w:left w:val="none" w:sz="0" w:space="0" w:color="auto"/>
        <w:bottom w:val="none" w:sz="0" w:space="0" w:color="auto"/>
        <w:right w:val="none" w:sz="0" w:space="0" w:color="auto"/>
      </w:divBdr>
      <w:divsChild>
        <w:div w:id="17481852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2" Type="http://schemas.openxmlformats.org/officeDocument/2006/relationships/hyperlink" Target="mailto:ufficio.stampa@aovr.veneto.it" TargetMode="External"/><Relationship Id="rId1" Type="http://schemas.openxmlformats.org/officeDocument/2006/relationships/hyperlink" Target="http://www.aovr.veneto.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E9D727-B2F1-477A-948F-46F210CE58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379</TotalTime>
  <Pages>2</Pages>
  <Words>579</Words>
  <Characters>3304</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Prot</vt:lpstr>
    </vt:vector>
  </TitlesOfParts>
  <Company/>
  <LinksUpToDate>false</LinksUpToDate>
  <CharactersWithSpaces>3876</CharactersWithSpaces>
  <SharedDoc>false</SharedDoc>
  <HLinks>
    <vt:vector size="12" baseType="variant">
      <vt:variant>
        <vt:i4>7602245</vt:i4>
      </vt:variant>
      <vt:variant>
        <vt:i4>3</vt:i4>
      </vt:variant>
      <vt:variant>
        <vt:i4>0</vt:i4>
      </vt:variant>
      <vt:variant>
        <vt:i4>5</vt:i4>
      </vt:variant>
      <vt:variant>
        <vt:lpwstr>mailto:ufficio.stampa@aovr.veneto.it</vt:lpwstr>
      </vt:variant>
      <vt:variant>
        <vt:lpwstr/>
      </vt:variant>
      <vt:variant>
        <vt:i4>3866747</vt:i4>
      </vt:variant>
      <vt:variant>
        <vt:i4>0</vt:i4>
      </vt:variant>
      <vt:variant>
        <vt:i4>0</vt:i4>
      </vt:variant>
      <vt:variant>
        <vt:i4>5</vt:i4>
      </vt:variant>
      <vt:variant>
        <vt:lpwstr>http://www.aovr.veneto.it/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dc:title>
  <dc:subject/>
  <dc:creator>Azienda Ospedaliera Universitaria Integrata - Verona</dc:creator>
  <cp:keywords/>
  <cp:lastModifiedBy>MIRELLA GOBBI SPROCAGNOCCHI</cp:lastModifiedBy>
  <cp:revision>20</cp:revision>
  <cp:lastPrinted>2026-02-10T17:14:00Z</cp:lastPrinted>
  <dcterms:created xsi:type="dcterms:W3CDTF">2026-04-20T10:47:00Z</dcterms:created>
  <dcterms:modified xsi:type="dcterms:W3CDTF">2026-05-28T12:06:00Z</dcterms:modified>
</cp:coreProperties>
</file>