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6A9B8434" w14:textId="08F04762" w:rsidR="00F75CEE" w:rsidRDefault="00F75CEE" w:rsidP="00F17C15">
      <w:pPr>
        <w:jc w:val="center"/>
        <w:rPr>
          <w:rFonts w:ascii="Century Gothic" w:hAnsi="Century Gothic"/>
          <w:b/>
          <w:bCs/>
          <w:kern w:val="2"/>
          <w:sz w:val="28"/>
          <w:szCs w:val="28"/>
        </w:rPr>
      </w:pPr>
      <w:r>
        <w:rPr>
          <w:rFonts w:ascii="Century Gothic" w:hAnsi="Century Gothic"/>
          <w:b/>
          <w:bCs/>
          <w:kern w:val="2"/>
          <w:sz w:val="28"/>
          <w:szCs w:val="28"/>
        </w:rPr>
        <w:t xml:space="preserve">Open day </w:t>
      </w:r>
      <w:r w:rsidR="009B2D68">
        <w:rPr>
          <w:rFonts w:ascii="Century Gothic" w:hAnsi="Century Gothic"/>
          <w:b/>
          <w:bCs/>
          <w:kern w:val="2"/>
          <w:sz w:val="28"/>
          <w:szCs w:val="28"/>
        </w:rPr>
        <w:t>Emicrania,</w:t>
      </w:r>
      <w:r w:rsidR="00E600EC">
        <w:rPr>
          <w:rFonts w:ascii="Century Gothic" w:hAnsi="Century Gothic"/>
          <w:b/>
          <w:bCs/>
          <w:kern w:val="2"/>
          <w:sz w:val="28"/>
          <w:szCs w:val="28"/>
        </w:rPr>
        <w:t xml:space="preserve"> malattia cronica spesso invalidante</w:t>
      </w:r>
    </w:p>
    <w:p w14:paraId="064F246A" w14:textId="77777777" w:rsidR="00F75CEE" w:rsidRDefault="00F75CEE" w:rsidP="00F17C15">
      <w:pPr>
        <w:jc w:val="center"/>
        <w:rPr>
          <w:rFonts w:ascii="Century Gothic" w:hAnsi="Century Gothic"/>
          <w:b/>
          <w:bCs/>
          <w:kern w:val="2"/>
          <w:sz w:val="28"/>
          <w:szCs w:val="28"/>
        </w:rPr>
      </w:pPr>
    </w:p>
    <w:p w14:paraId="3CCC54B7" w14:textId="43D103FA" w:rsidR="00E57256" w:rsidRDefault="00423F60" w:rsidP="0069453E">
      <w:pPr>
        <w:jc w:val="center"/>
        <w:rPr>
          <w:rFonts w:ascii="Century Gothic" w:hAnsi="Century Gothic"/>
          <w:b/>
          <w:bCs/>
          <w:kern w:val="2"/>
          <w:sz w:val="28"/>
          <w:szCs w:val="28"/>
        </w:rPr>
      </w:pPr>
      <w:r>
        <w:rPr>
          <w:rFonts w:ascii="Century Gothic" w:hAnsi="Century Gothic"/>
          <w:b/>
          <w:bCs/>
          <w:kern w:val="2"/>
          <w:sz w:val="28"/>
          <w:szCs w:val="28"/>
        </w:rPr>
        <w:t>Colpisce i giovani e s</w:t>
      </w:r>
      <w:r w:rsidR="006539B7">
        <w:rPr>
          <w:rFonts w:ascii="Century Gothic" w:hAnsi="Century Gothic"/>
          <w:b/>
          <w:bCs/>
          <w:kern w:val="2"/>
          <w:sz w:val="28"/>
          <w:szCs w:val="28"/>
        </w:rPr>
        <w:t xml:space="preserve">pesso ancora </w:t>
      </w:r>
      <w:proofErr w:type="spellStart"/>
      <w:r w:rsidR="006539B7">
        <w:rPr>
          <w:rFonts w:ascii="Century Gothic" w:hAnsi="Century Gothic"/>
          <w:b/>
          <w:bCs/>
          <w:kern w:val="2"/>
          <w:sz w:val="28"/>
          <w:szCs w:val="28"/>
        </w:rPr>
        <w:t>automedicata</w:t>
      </w:r>
      <w:proofErr w:type="spellEnd"/>
      <w:r w:rsidR="006539B7">
        <w:rPr>
          <w:rFonts w:ascii="Century Gothic" w:hAnsi="Century Gothic"/>
          <w:b/>
          <w:bCs/>
          <w:kern w:val="2"/>
          <w:sz w:val="28"/>
          <w:szCs w:val="28"/>
        </w:rPr>
        <w:t xml:space="preserve">. </w:t>
      </w:r>
      <w:r>
        <w:rPr>
          <w:rFonts w:ascii="Century Gothic" w:hAnsi="Century Gothic"/>
          <w:b/>
          <w:bCs/>
          <w:kern w:val="2"/>
          <w:sz w:val="28"/>
          <w:szCs w:val="28"/>
        </w:rPr>
        <w:t>Il 17 webinar informativo gratuito della Neurologia B</w:t>
      </w:r>
    </w:p>
    <w:p w14:paraId="3D8F97AB" w14:textId="77777777" w:rsidR="006539B7" w:rsidRDefault="006539B7" w:rsidP="0069453E">
      <w:pPr>
        <w:jc w:val="center"/>
      </w:pPr>
    </w:p>
    <w:p w14:paraId="559AD7C6" w14:textId="77777777" w:rsidR="00895CB6" w:rsidRDefault="00895CB6" w:rsidP="00541E00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36082373" w14:textId="332EC7B7" w:rsidR="00541E00" w:rsidRPr="005C6DC8" w:rsidRDefault="00E57256" w:rsidP="00541E00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 w:rsidRPr="009D4DB4">
        <w:rPr>
          <w:rFonts w:ascii="Century Gothic" w:hAnsi="Century Gothic" w:cs="Century Gothic"/>
          <w:kern w:val="2"/>
          <w:sz w:val="24"/>
          <w:szCs w:val="24"/>
        </w:rPr>
        <w:t>Verona,</w:t>
      </w:r>
      <w:r w:rsidR="00E7016A"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 w:rsidR="008E4C10">
        <w:rPr>
          <w:rFonts w:ascii="Century Gothic" w:hAnsi="Century Gothic" w:cs="Century Gothic"/>
          <w:kern w:val="2"/>
          <w:sz w:val="24"/>
          <w:szCs w:val="24"/>
        </w:rPr>
        <w:t xml:space="preserve">13 </w:t>
      </w:r>
      <w:r w:rsidR="004502AF">
        <w:rPr>
          <w:rFonts w:ascii="Century Gothic" w:hAnsi="Century Gothic" w:cs="Century Gothic"/>
          <w:kern w:val="2"/>
          <w:sz w:val="24"/>
          <w:szCs w:val="24"/>
        </w:rPr>
        <w:t>giugno</w:t>
      </w:r>
      <w:r w:rsidR="00B30658"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 w:rsidR="00131B5A">
        <w:rPr>
          <w:rFonts w:ascii="Century Gothic" w:hAnsi="Century Gothic" w:cs="Century Gothic"/>
          <w:kern w:val="2"/>
          <w:sz w:val="24"/>
          <w:szCs w:val="24"/>
        </w:rPr>
        <w:t>202</w:t>
      </w:r>
      <w:r>
        <w:rPr>
          <w:rFonts w:ascii="Century Gothic" w:hAnsi="Century Gothic" w:cs="Century Gothic"/>
          <w:kern w:val="2"/>
          <w:sz w:val="24"/>
          <w:szCs w:val="24"/>
        </w:rPr>
        <w:t>6</w:t>
      </w:r>
    </w:p>
    <w:p w14:paraId="26EF4046" w14:textId="77777777" w:rsidR="00541E00" w:rsidRDefault="00541E00" w:rsidP="00541E00">
      <w:pPr>
        <w:ind w:right="-35"/>
        <w:jc w:val="both"/>
        <w:rPr>
          <w:rFonts w:ascii="Century Gothic" w:hAnsi="Century Gothic"/>
          <w:sz w:val="24"/>
          <w:szCs w:val="24"/>
        </w:rPr>
      </w:pPr>
    </w:p>
    <w:p w14:paraId="6085E3B3" w14:textId="329FBC2F" w:rsidR="00423F60" w:rsidRDefault="00E63270" w:rsidP="006539B7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Non</w:t>
      </w:r>
      <w:r w:rsidR="004502AF" w:rsidRPr="004502AF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è “solo” un mal di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testa, ma </w:t>
      </w:r>
      <w:r w:rsidR="004502AF" w:rsidRPr="004502AF">
        <w:rPr>
          <w:rFonts w:ascii="Century Gothic" w:eastAsia="Calibri" w:hAnsi="Century Gothic"/>
          <w:kern w:val="2"/>
          <w:sz w:val="24"/>
          <w:szCs w:val="24"/>
          <w:lang w:eastAsia="en-US"/>
        </w:rPr>
        <w:t>una patologia neurologica cronica che può di</w:t>
      </w:r>
      <w:r w:rsidR="00423F60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ventare fortemente invalidante e che colpisce specialmente i giovani adulti.  </w:t>
      </w:r>
    </w:p>
    <w:p w14:paraId="6174DAF5" w14:textId="265E4C02" w:rsidR="00423F60" w:rsidRDefault="00423F60" w:rsidP="00423F60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Anche quest’anno, l’Azienda ospedaliera di Verona rinnova l’adesione all’Open day sull’emicrania del 17 giugno, promosso da Fondazione Onda, con servizi clinico-diagnostici e informativi gratuiti.</w:t>
      </w:r>
    </w:p>
    <w:p w14:paraId="5264080A" w14:textId="3FE1F4A9" w:rsidR="00423F60" w:rsidRDefault="00423F60" w:rsidP="006539B7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29EF284C" w14:textId="39557EF5" w:rsidR="00F75CEE" w:rsidRPr="00F75CEE" w:rsidRDefault="00F75CEE" w:rsidP="00F75CEE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u w:val="single"/>
          <w:lang w:eastAsia="en-US"/>
        </w:rPr>
      </w:pPr>
      <w:r w:rsidRPr="00F75CEE">
        <w:rPr>
          <w:rFonts w:ascii="Century Gothic" w:eastAsia="Calibri" w:hAnsi="Century Gothic"/>
          <w:b/>
          <w:bCs/>
          <w:kern w:val="2"/>
          <w:sz w:val="24"/>
          <w:szCs w:val="24"/>
          <w:lang w:eastAsia="en-US"/>
        </w:rPr>
        <w:t>Open day 17 giugno</w:t>
      </w:r>
      <w:r w:rsidRPr="00F75CEE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. Sono tre le </w:t>
      </w:r>
      <w:proofErr w:type="spellStart"/>
      <w:r w:rsidRPr="00F75CEE">
        <w:rPr>
          <w:rFonts w:ascii="Century Gothic" w:eastAsia="Calibri" w:hAnsi="Century Gothic"/>
          <w:kern w:val="2"/>
          <w:sz w:val="24"/>
          <w:szCs w:val="24"/>
          <w:lang w:eastAsia="en-US"/>
        </w:rPr>
        <w:t>Uoc</w:t>
      </w:r>
      <w:proofErr w:type="spellEnd"/>
      <w:r w:rsidRPr="00F75CEE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proofErr w:type="spellStart"/>
      <w:r w:rsidRPr="00F75CEE">
        <w:rPr>
          <w:rFonts w:ascii="Century Gothic" w:eastAsia="Calibri" w:hAnsi="Century Gothic"/>
          <w:kern w:val="2"/>
          <w:sz w:val="24"/>
          <w:szCs w:val="24"/>
          <w:lang w:eastAsia="en-US"/>
        </w:rPr>
        <w:t>Aoui</w:t>
      </w:r>
      <w:proofErr w:type="spellEnd"/>
      <w:r w:rsidRPr="00F75CEE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che prendono parte all’iniziativa promossa da Fondazione Onda. La </w:t>
      </w:r>
      <w:r w:rsidRPr="00F75CEE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Neurologia B</w:t>
      </w:r>
      <w:r w:rsidRPr="00F75CEE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diretta dal prof. Michele </w:t>
      </w:r>
      <w:proofErr w:type="spellStart"/>
      <w:r w:rsidRPr="00F75CEE">
        <w:rPr>
          <w:rFonts w:ascii="Century Gothic" w:eastAsia="Calibri" w:hAnsi="Century Gothic"/>
          <w:kern w:val="2"/>
          <w:sz w:val="24"/>
          <w:szCs w:val="24"/>
          <w:lang w:eastAsia="en-US"/>
        </w:rPr>
        <w:t>Tinazzi</w:t>
      </w:r>
      <w:proofErr w:type="spellEnd"/>
      <w:r w:rsidRPr="00F75CEE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organizza un </w:t>
      </w:r>
      <w:proofErr w:type="spellStart"/>
      <w:r w:rsidRPr="00F75CEE">
        <w:rPr>
          <w:rFonts w:ascii="Century Gothic" w:eastAsia="Calibri" w:hAnsi="Century Gothic"/>
          <w:kern w:val="2"/>
          <w:sz w:val="24"/>
          <w:szCs w:val="24"/>
          <w:lang w:eastAsia="en-US"/>
        </w:rPr>
        <w:t>webinar</w:t>
      </w:r>
      <w:proofErr w:type="spellEnd"/>
      <w:r w:rsidRPr="00F75CEE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informativo in diretta streaming dal titolo “Quando il mal di testa è emicrania. Come riconoscerla e come gestirla”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,</w:t>
      </w:r>
      <w:r w:rsidRPr="00F75CEE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con i relatori dott. Federico Ranieri e prof. Carlo Alberto Artusi. L’incontro sarà il 17 giugno dalle ore 18 alle 18.45, l’utenza interessata potrà collegarsi al link </w:t>
      </w:r>
      <w:hyperlink r:id="rId8" w:history="1">
        <w:r w:rsidRPr="00F75CEE">
          <w:rPr>
            <w:rStyle w:val="Collegamentoipertestuale"/>
            <w:rFonts w:ascii="Century Gothic" w:eastAsia="Calibri" w:hAnsi="Century Gothic"/>
            <w:kern w:val="2"/>
            <w:sz w:val="24"/>
            <w:szCs w:val="24"/>
            <w:lang w:eastAsia="en-US"/>
          </w:rPr>
          <w:t>https://meet.google.com/dfh-nkwu-nmn</w:t>
        </w:r>
      </w:hyperlink>
      <w:r w:rsidRPr="00F75CEE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. </w:t>
      </w:r>
      <w:proofErr w:type="spellStart"/>
      <w:r w:rsidRPr="00F75CEE">
        <w:rPr>
          <w:rFonts w:ascii="Century Gothic" w:eastAsia="Calibri" w:hAnsi="Century Gothic"/>
          <w:kern w:val="2"/>
          <w:sz w:val="24"/>
          <w:szCs w:val="24"/>
          <w:lang w:eastAsia="en-US"/>
        </w:rPr>
        <w:t>Uoc</w:t>
      </w:r>
      <w:proofErr w:type="spellEnd"/>
      <w:r w:rsidRPr="00F75CEE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Pr="00F75CEE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Terapia del dolore</w:t>
      </w:r>
      <w:r w:rsidRPr="00F75CEE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diretta dal prof. Vittorio </w:t>
      </w:r>
      <w:proofErr w:type="spellStart"/>
      <w:r w:rsidRPr="00F75CEE">
        <w:rPr>
          <w:rFonts w:ascii="Century Gothic" w:eastAsia="Calibri" w:hAnsi="Century Gothic"/>
          <w:kern w:val="2"/>
          <w:sz w:val="24"/>
          <w:szCs w:val="24"/>
          <w:lang w:eastAsia="en-US"/>
        </w:rPr>
        <w:t>Schweiger</w:t>
      </w:r>
      <w:proofErr w:type="spellEnd"/>
      <w:r w:rsidRPr="00F75CEE">
        <w:rPr>
          <w:rFonts w:ascii="Century Gothic" w:eastAsia="Calibri" w:hAnsi="Century Gothic"/>
          <w:kern w:val="2"/>
          <w:sz w:val="24"/>
          <w:szCs w:val="24"/>
          <w:lang w:eastAsia="en-US"/>
        </w:rPr>
        <w:t>, dalle 9 alle 12, ha proposto visite specialistiche gratuite per cefalea. Anche l’</w:t>
      </w:r>
      <w:proofErr w:type="spellStart"/>
      <w:r w:rsidRPr="00F75CEE">
        <w:rPr>
          <w:rFonts w:ascii="Century Gothic" w:eastAsia="Calibri" w:hAnsi="Century Gothic"/>
          <w:kern w:val="2"/>
          <w:sz w:val="24"/>
          <w:szCs w:val="24"/>
          <w:lang w:eastAsia="en-US"/>
        </w:rPr>
        <w:t>Uoc</w:t>
      </w:r>
      <w:proofErr w:type="spellEnd"/>
      <w:r w:rsidRPr="00F75CEE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Pr="00F75CEE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Neurologia A</w:t>
      </w:r>
      <w:r w:rsidRPr="00F75CEE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diretta dal dott. Bruno Bonetti prende parte alla campagna di sensibilizzazione con visite specialistiche neurologiche gratuite per emicrania previste dalle ore 16 alle 18, previa prenotazione via mail all’indirizzo </w:t>
      </w:r>
      <w:hyperlink r:id="rId9" w:history="1">
        <w:r w:rsidRPr="00F75CEE">
          <w:rPr>
            <w:rStyle w:val="Collegamentoipertestuale"/>
            <w:rFonts w:ascii="Century Gothic" w:eastAsia="Calibri" w:hAnsi="Century Gothic"/>
            <w:kern w:val="2"/>
            <w:sz w:val="24"/>
            <w:szCs w:val="24"/>
            <w:lang w:eastAsia="en-US"/>
          </w:rPr>
          <w:t>neurologia.a@aovr.veneto.it</w:t>
        </w:r>
      </w:hyperlink>
      <w:r w:rsidRPr="00F75CEE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o telefonando al numero 0458122690 dalle ore 9 alle 13 dal lunedì al venerdì.</w:t>
      </w:r>
    </w:p>
    <w:p w14:paraId="5A73DCEC" w14:textId="77777777" w:rsidR="00F75CEE" w:rsidRDefault="00F75CEE" w:rsidP="006539B7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79A8B5A0" w14:textId="4AC4A4FE" w:rsidR="00C22A8D" w:rsidRPr="00C22A8D" w:rsidRDefault="00F75CEE" w:rsidP="00C22A8D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I</w:t>
      </w:r>
      <w:r w:rsidR="002A0A0B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l Centro cefalee</w:t>
      </w:r>
      <w:r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 xml:space="preserve"> di Borgo Roma</w:t>
      </w:r>
      <w:r w:rsidR="002A0A0B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 xml:space="preserve">. </w:t>
      </w:r>
      <w:r w:rsidR="006539B7">
        <w:rPr>
          <w:rFonts w:ascii="Century Gothic" w:eastAsia="Calibri" w:hAnsi="Century Gothic"/>
          <w:kern w:val="2"/>
          <w:sz w:val="24"/>
          <w:szCs w:val="24"/>
          <w:lang w:eastAsia="en-US"/>
        </w:rPr>
        <w:t>I</w:t>
      </w:r>
      <w:r w:rsidR="000C7E5F" w:rsidRPr="004502AF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n caso di forti mal di testa, </w:t>
      </w:r>
      <w:r w:rsidR="006539B7">
        <w:rPr>
          <w:rFonts w:ascii="Century Gothic" w:eastAsia="Calibri" w:hAnsi="Century Gothic"/>
          <w:kern w:val="2"/>
          <w:sz w:val="24"/>
          <w:szCs w:val="24"/>
          <w:lang w:eastAsia="en-US"/>
        </w:rPr>
        <w:t>si accede alla visita al Centro cefalee</w:t>
      </w:r>
      <w:r w:rsidR="002A0A0B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di Borgo Roma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, diretto dal </w:t>
      </w:r>
      <w:r w:rsidRPr="00F75CEE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prof. Vittorio </w:t>
      </w:r>
      <w:proofErr w:type="spellStart"/>
      <w:r w:rsidRPr="00F75CEE">
        <w:rPr>
          <w:rFonts w:ascii="Century Gothic" w:eastAsia="Calibri" w:hAnsi="Century Gothic"/>
          <w:kern w:val="2"/>
          <w:sz w:val="24"/>
          <w:szCs w:val="24"/>
          <w:lang w:eastAsia="en-US"/>
        </w:rPr>
        <w:t>Schweiger</w:t>
      </w:r>
      <w:proofErr w:type="spellEnd"/>
      <w:r w:rsidR="00E600EC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, </w:t>
      </w:r>
      <w:r w:rsidR="006539B7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con impegnativa del medico di Medicina generale. Una volta preso in carico il paziente </w:t>
      </w:r>
      <w:r w:rsidR="000C7E5F" w:rsidRPr="004502AF">
        <w:rPr>
          <w:rFonts w:ascii="Century Gothic" w:eastAsia="Calibri" w:hAnsi="Century Gothic"/>
          <w:kern w:val="2"/>
          <w:sz w:val="24"/>
          <w:szCs w:val="24"/>
          <w:lang w:eastAsia="en-US"/>
        </w:rPr>
        <w:t>verrà individuato il mi</w:t>
      </w:r>
      <w:r w:rsidR="000066A0">
        <w:rPr>
          <w:rFonts w:ascii="Century Gothic" w:eastAsia="Calibri" w:hAnsi="Century Gothic"/>
          <w:kern w:val="2"/>
          <w:sz w:val="24"/>
          <w:szCs w:val="24"/>
          <w:lang w:eastAsia="en-US"/>
        </w:rPr>
        <w:t>glior percorso da intraprendere con follow up costante</w:t>
      </w:r>
      <w:r w:rsidR="00E600EC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per la gestione del dolore</w:t>
      </w:r>
      <w:r w:rsidR="000066A0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. </w:t>
      </w:r>
      <w:r w:rsidR="00E600EC">
        <w:rPr>
          <w:rFonts w:ascii="Century Gothic" w:eastAsia="Calibri" w:hAnsi="Century Gothic"/>
          <w:kern w:val="2"/>
          <w:sz w:val="24"/>
          <w:szCs w:val="24"/>
          <w:lang w:eastAsia="en-US"/>
        </w:rPr>
        <w:t>Il Centro di Borgo Roma è c</w:t>
      </w:r>
      <w:r w:rsidR="00423F60" w:rsidRPr="009B2D68">
        <w:rPr>
          <w:rFonts w:ascii="Century Gothic" w:eastAsia="Calibri" w:hAnsi="Century Gothic"/>
          <w:kern w:val="2"/>
          <w:sz w:val="24"/>
          <w:szCs w:val="24"/>
          <w:lang w:eastAsia="en-US"/>
        </w:rPr>
        <w:t>entro proscrittore di anticorpi monoclonali</w:t>
      </w:r>
      <w:r w:rsidR="002A0A0B" w:rsidRPr="009B2D68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, condiviso con le Neurologie, in cui i pazienti vengono presi in carico </w:t>
      </w:r>
      <w:r w:rsidR="002A0A0B">
        <w:rPr>
          <w:rFonts w:ascii="Century Gothic" w:eastAsia="Calibri" w:hAnsi="Century Gothic"/>
          <w:kern w:val="2"/>
          <w:sz w:val="24"/>
          <w:szCs w:val="24"/>
          <w:lang w:eastAsia="en-US"/>
        </w:rPr>
        <w:t>per il trattamento dell’emicrania</w:t>
      </w:r>
      <w:r w:rsidR="009B2D68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refrattaria.</w:t>
      </w:r>
      <w:r w:rsidR="002A0A0B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proofErr w:type="gramStart"/>
      <w:r w:rsidR="002A0A0B">
        <w:rPr>
          <w:rFonts w:ascii="Century Gothic" w:eastAsia="Calibri" w:hAnsi="Century Gothic"/>
          <w:kern w:val="2"/>
          <w:sz w:val="24"/>
          <w:szCs w:val="24"/>
          <w:lang w:eastAsia="en-US"/>
        </w:rPr>
        <w:t>E’</w:t>
      </w:r>
      <w:proofErr w:type="gramEnd"/>
      <w:r w:rsidR="002A0A0B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una cura specifica</w:t>
      </w:r>
      <w:r w:rsidR="00423F60" w:rsidRPr="004502AF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="00423F60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destinata a </w:t>
      </w:r>
      <w:r w:rsidR="009B2D68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soggetti resistenti </w:t>
      </w:r>
      <w:r w:rsidR="00423F60" w:rsidRPr="004502AF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ai trattamenti </w:t>
      </w:r>
      <w:r w:rsidR="00423F60">
        <w:rPr>
          <w:rFonts w:ascii="Century Gothic" w:eastAsia="Calibri" w:hAnsi="Century Gothic"/>
          <w:kern w:val="2"/>
          <w:sz w:val="24"/>
          <w:szCs w:val="24"/>
          <w:lang w:eastAsia="en-US"/>
        </w:rPr>
        <w:t>standard</w:t>
      </w:r>
      <w:r w:rsidR="00423F60" w:rsidRPr="004502AF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o che manifestano </w:t>
      </w:r>
      <w:r w:rsidR="00423F60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importanti </w:t>
      </w:r>
      <w:r w:rsidR="00423F60" w:rsidRPr="004502AF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effetti collaterali </w:t>
      </w:r>
      <w:r w:rsidR="000066A0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ai </w:t>
      </w:r>
      <w:r w:rsidR="00423F60" w:rsidRPr="004502AF">
        <w:rPr>
          <w:rFonts w:ascii="Century Gothic" w:eastAsia="Calibri" w:hAnsi="Century Gothic"/>
          <w:kern w:val="2"/>
          <w:sz w:val="24"/>
          <w:szCs w:val="24"/>
          <w:lang w:eastAsia="en-US"/>
        </w:rPr>
        <w:t>farmaci convenzionali. La prescrizione della terapia è sorvegliata dall’</w:t>
      </w:r>
      <w:proofErr w:type="spellStart"/>
      <w:r w:rsidR="00423F60" w:rsidRPr="004502AF">
        <w:rPr>
          <w:rFonts w:ascii="Century Gothic" w:eastAsia="Calibri" w:hAnsi="Century Gothic"/>
          <w:kern w:val="2"/>
          <w:sz w:val="24"/>
          <w:szCs w:val="24"/>
          <w:lang w:eastAsia="en-US"/>
        </w:rPr>
        <w:t>Aifa</w:t>
      </w:r>
      <w:proofErr w:type="spellEnd"/>
      <w:r w:rsidR="00423F60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. Attualmente sono circa 220 i pazienti in carico </w:t>
      </w:r>
      <w:r w:rsidR="000066A0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nel Centro </w:t>
      </w:r>
      <w:r w:rsidR="002A0A0B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anticorpi monoclonali </w:t>
      </w:r>
      <w:r w:rsidR="009B2D68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e meno del </w:t>
      </w:r>
      <w:r w:rsidR="00423F60" w:rsidRPr="009B2D68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10% sono “super-refrattari”. La maggior parte </w:t>
      </w:r>
      <w:r w:rsidR="009B2D68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invece </w:t>
      </w:r>
      <w:r w:rsidR="00423F60" w:rsidRPr="009B2D68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ha </w:t>
      </w:r>
      <w:r w:rsidR="00423F60" w:rsidRPr="009B2D68">
        <w:rPr>
          <w:rFonts w:ascii="Century Gothic" w:eastAsia="Calibri" w:hAnsi="Century Gothic"/>
          <w:kern w:val="2"/>
          <w:sz w:val="24"/>
          <w:szCs w:val="24"/>
          <w:lang w:eastAsia="en-US"/>
        </w:rPr>
        <w:lastRenderedPageBreak/>
        <w:t>avuto risultati migliorativi con</w:t>
      </w:r>
      <w:r w:rsidR="009B2D68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aumento del benessere, il r</w:t>
      </w:r>
      <w:r w:rsidR="00423F60" w:rsidRPr="009B2D68">
        <w:rPr>
          <w:rFonts w:ascii="Century Gothic" w:eastAsia="Calibri" w:hAnsi="Century Gothic"/>
          <w:kern w:val="2"/>
          <w:sz w:val="24"/>
          <w:szCs w:val="24"/>
          <w:lang w:eastAsia="en-US"/>
        </w:rPr>
        <w:t>itorno al lavoro e un ridotto consumo di farmaci quotidiano</w:t>
      </w:r>
      <w:r w:rsidR="00423F60" w:rsidRPr="004502AF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. </w:t>
      </w:r>
      <w:r w:rsidR="00423F60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Il Centro </w:t>
      </w:r>
      <w:proofErr w:type="spellStart"/>
      <w:r w:rsidR="00423F60">
        <w:rPr>
          <w:rFonts w:ascii="Century Gothic" w:eastAsia="Calibri" w:hAnsi="Century Gothic"/>
          <w:kern w:val="2"/>
          <w:sz w:val="24"/>
          <w:szCs w:val="24"/>
          <w:lang w:eastAsia="en-US"/>
        </w:rPr>
        <w:t>Aoui</w:t>
      </w:r>
      <w:proofErr w:type="spellEnd"/>
      <w:r w:rsidR="00423F60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rappresenta una realtà autorevole: è il primo centro di terapisti del dolore a fare parte della Società italia</w:t>
      </w:r>
      <w:r w:rsidR="00C22A8D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na per lo studio delle cefalee. </w:t>
      </w:r>
      <w:bookmarkStart w:id="0" w:name="_GoBack"/>
      <w:bookmarkEnd w:id="0"/>
    </w:p>
    <w:p w14:paraId="54362606" w14:textId="15BA45DB" w:rsidR="00E600EC" w:rsidRDefault="00E600EC" w:rsidP="000C7E5F">
      <w:pPr>
        <w:suppressAutoHyphens w:val="0"/>
        <w:spacing w:line="256" w:lineRule="auto"/>
        <w:jc w:val="both"/>
        <w:rPr>
          <w:rFonts w:ascii="Century Gothic" w:eastAsia="Calibri" w:hAnsi="Century Gothic"/>
          <w:b/>
          <w:bCs/>
          <w:kern w:val="2"/>
          <w:sz w:val="24"/>
          <w:szCs w:val="24"/>
          <w:lang w:eastAsia="en-US"/>
        </w:rPr>
      </w:pPr>
    </w:p>
    <w:p w14:paraId="607D06D8" w14:textId="5D81B629" w:rsidR="000C7E5F" w:rsidRDefault="000C7E5F" w:rsidP="000C7E5F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>
        <w:rPr>
          <w:rFonts w:ascii="Century Gothic" w:eastAsia="Calibri" w:hAnsi="Century Gothic"/>
          <w:b/>
          <w:bCs/>
          <w:kern w:val="2"/>
          <w:sz w:val="24"/>
          <w:szCs w:val="24"/>
          <w:lang w:eastAsia="en-US"/>
        </w:rPr>
        <w:t>M</w:t>
      </w:r>
      <w:r w:rsidR="004502AF" w:rsidRPr="004502AF">
        <w:rPr>
          <w:rFonts w:ascii="Century Gothic" w:eastAsia="Calibri" w:hAnsi="Century Gothic"/>
          <w:b/>
          <w:bCs/>
          <w:kern w:val="2"/>
          <w:sz w:val="24"/>
          <w:szCs w:val="24"/>
          <w:lang w:eastAsia="en-US"/>
        </w:rPr>
        <w:t>alattia neurologica sottovalutata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. </w:t>
      </w:r>
      <w:r w:rsidR="00423F60" w:rsidRPr="00E71FC1">
        <w:rPr>
          <w:rFonts w:ascii="Century Gothic" w:eastAsia="Calibri" w:hAnsi="Century Gothic"/>
          <w:kern w:val="2"/>
          <w:sz w:val="24"/>
          <w:szCs w:val="24"/>
          <w:lang w:eastAsia="en-US"/>
        </w:rPr>
        <w:t>Nonostante l’elevata diffusione e il forte impatto, l’emicrania rimane ancora oggi</w:t>
      </w:r>
      <w:r w:rsidR="00423F60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="00423F60" w:rsidRPr="00E71FC1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sotto-diagnosticata e </w:t>
      </w:r>
      <w:r w:rsidR="00423F60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sotto-trattata attraverso automedicazione. 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Si</w:t>
      </w:r>
      <w:r w:rsidR="004502AF" w:rsidRPr="004502AF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manifesta generalmente con attacchi ricorrenti di </w:t>
      </w:r>
      <w:r w:rsidR="002E3E4E">
        <w:rPr>
          <w:rFonts w:ascii="Century Gothic" w:eastAsia="Calibri" w:hAnsi="Century Gothic"/>
          <w:kern w:val="2"/>
          <w:sz w:val="24"/>
          <w:szCs w:val="24"/>
          <w:lang w:eastAsia="en-US"/>
        </w:rPr>
        <w:t>cefalea</w:t>
      </w:r>
      <w:r w:rsidR="004502AF" w:rsidRPr="004502AF">
        <w:rPr>
          <w:rFonts w:ascii="Century Gothic" w:eastAsia="Calibri" w:hAnsi="Century Gothic"/>
          <w:kern w:val="2"/>
          <w:sz w:val="24"/>
          <w:szCs w:val="24"/>
          <w:lang w:eastAsia="en-US"/>
        </w:rPr>
        <w:t>, anche pulsa</w:t>
      </w:r>
      <w:r w:rsidR="005F46FF">
        <w:rPr>
          <w:rFonts w:ascii="Century Gothic" w:eastAsia="Calibri" w:hAnsi="Century Gothic"/>
          <w:kern w:val="2"/>
          <w:sz w:val="24"/>
          <w:szCs w:val="24"/>
          <w:lang w:eastAsia="en-US"/>
        </w:rPr>
        <w:t>n</w:t>
      </w:r>
      <w:r w:rsidR="004502AF" w:rsidRPr="004502AF">
        <w:rPr>
          <w:rFonts w:ascii="Century Gothic" w:eastAsia="Calibri" w:hAnsi="Century Gothic"/>
          <w:kern w:val="2"/>
          <w:sz w:val="24"/>
          <w:szCs w:val="24"/>
          <w:lang w:eastAsia="en-US"/>
        </w:rPr>
        <w:t>te e</w:t>
      </w:r>
      <w:r w:rsidR="007D73B1">
        <w:rPr>
          <w:rFonts w:ascii="Century Gothic" w:eastAsia="Calibri" w:hAnsi="Century Gothic"/>
          <w:kern w:val="2"/>
          <w:sz w:val="24"/>
          <w:szCs w:val="24"/>
          <w:lang w:eastAsia="en-US"/>
        </w:rPr>
        <w:t>/o</w:t>
      </w:r>
      <w:r w:rsidR="004502AF" w:rsidRPr="004502AF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unilaterale, accompagnato</w:t>
      </w:r>
      <w:r w:rsidR="002E3E4E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talvolta</w:t>
      </w:r>
      <w:r w:rsidR="004502AF" w:rsidRPr="004502AF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dall’insorgenza di altri sintomi come </w:t>
      </w:r>
      <w:r w:rsidR="002E3E4E">
        <w:rPr>
          <w:rFonts w:ascii="Century Gothic" w:eastAsia="Calibri" w:hAnsi="Century Gothic"/>
          <w:kern w:val="2"/>
          <w:sz w:val="24"/>
          <w:szCs w:val="24"/>
          <w:lang w:eastAsia="en-US"/>
        </w:rPr>
        <w:t>ipersensibilità a stimoli sensoriali,</w:t>
      </w:r>
      <w:r w:rsidR="004502AF" w:rsidRPr="004502AF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nausea e vomito. L’emicrania, </w:t>
      </w:r>
      <w:r w:rsidR="00F17C15">
        <w:rPr>
          <w:rFonts w:ascii="Century Gothic" w:eastAsia="Calibri" w:hAnsi="Century Gothic"/>
          <w:kern w:val="2"/>
          <w:sz w:val="24"/>
          <w:szCs w:val="24"/>
          <w:lang w:eastAsia="en-US"/>
        </w:rPr>
        <w:t>specialmente</w:t>
      </w:r>
      <w:r w:rsidR="004502AF" w:rsidRPr="004502AF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se c</w:t>
      </w:r>
      <w:r w:rsidR="005F46FF">
        <w:rPr>
          <w:rFonts w:ascii="Century Gothic" w:eastAsia="Calibri" w:hAnsi="Century Gothic"/>
          <w:kern w:val="2"/>
          <w:sz w:val="24"/>
          <w:szCs w:val="24"/>
          <w:lang w:eastAsia="en-US"/>
        </w:rPr>
        <w:t>ro</w:t>
      </w:r>
      <w:r w:rsidR="004502AF" w:rsidRPr="004502AF">
        <w:rPr>
          <w:rFonts w:ascii="Century Gothic" w:eastAsia="Calibri" w:hAnsi="Century Gothic"/>
          <w:kern w:val="2"/>
          <w:sz w:val="24"/>
          <w:szCs w:val="24"/>
          <w:lang w:eastAsia="en-US"/>
        </w:rPr>
        <w:t>nica, ha un impatto negat</w:t>
      </w:r>
      <w:r w:rsidR="005F46FF">
        <w:rPr>
          <w:rFonts w:ascii="Century Gothic" w:eastAsia="Calibri" w:hAnsi="Century Gothic"/>
          <w:kern w:val="2"/>
          <w:sz w:val="24"/>
          <w:szCs w:val="24"/>
          <w:lang w:eastAsia="en-US"/>
        </w:rPr>
        <w:t>iv</w:t>
      </w:r>
      <w:r w:rsidR="004502AF" w:rsidRPr="004502AF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o sulla qualità di vita dei pazienti, </w:t>
      </w:r>
      <w:r w:rsidR="009B2D68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spesso giovani, </w:t>
      </w:r>
      <w:r w:rsidR="004502AF" w:rsidRPr="004502AF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soprattutto in ambito lavorativo può determinare basso rendimento e scarsa produttività. 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Colpisce </w:t>
      </w:r>
      <w:r w:rsidRPr="004502AF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almeno 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6 milioni di persone</w:t>
      </w:r>
      <w:r w:rsidRPr="004502AF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in Italia,</w:t>
      </w:r>
      <w:r w:rsidRPr="004502AF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con una prevalenza per il sesso femminile e l’età giovanile/adulta.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proofErr w:type="gramStart"/>
      <w:r w:rsidR="00423F60">
        <w:rPr>
          <w:rFonts w:ascii="Century Gothic" w:eastAsia="Calibri" w:hAnsi="Century Gothic"/>
          <w:kern w:val="2"/>
          <w:sz w:val="24"/>
          <w:szCs w:val="24"/>
          <w:lang w:eastAsia="en-US"/>
        </w:rPr>
        <w:t>E’</w:t>
      </w:r>
      <w:proofErr w:type="gramEnd"/>
      <w:r w:rsidR="00423F60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una malattia cronica, che però nella popolazione femminile, tende a retrocedere con la menopausa. 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L</w:t>
      </w:r>
      <w:r w:rsidRPr="004502AF">
        <w:rPr>
          <w:rFonts w:ascii="Century Gothic" w:eastAsia="Calibri" w:hAnsi="Century Gothic"/>
          <w:kern w:val="2"/>
          <w:sz w:val="24"/>
          <w:szCs w:val="24"/>
          <w:lang w:eastAsia="en-US"/>
        </w:rPr>
        <w:t>’Organ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izzazione mondiale della sanità la ritiene la</w:t>
      </w:r>
      <w:r w:rsidRPr="004502AF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terza malattia più frequente al mondo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e la seconda più disabilitante. </w:t>
      </w:r>
    </w:p>
    <w:p w14:paraId="195A35B1" w14:textId="77777777" w:rsidR="000C7E5F" w:rsidRDefault="000C7E5F" w:rsidP="00E7016A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sectPr w:rsidR="000C7E5F">
      <w:headerReference w:type="default" r:id="rId10"/>
      <w:footerReference w:type="even" r:id="rId11"/>
      <w:footerReference w:type="default" r:id="rId12"/>
      <w:pgSz w:w="11906" w:h="16838"/>
      <w:pgMar w:top="1418" w:right="1134" w:bottom="1134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4DAE6D1" w14:textId="77777777" w:rsidR="003D7A5F" w:rsidRDefault="003D7A5F">
      <w:r>
        <w:separator/>
      </w:r>
    </w:p>
  </w:endnote>
  <w:endnote w:type="continuationSeparator" w:id="0">
    <w:p w14:paraId="3F4CD9FA" w14:textId="77777777" w:rsidR="003D7A5F" w:rsidRDefault="003D7A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pleSystemUIFon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ptos Display">
    <w:altName w:val="Calibri"/>
    <w:charset w:val="00"/>
    <w:family w:val="swiss"/>
    <w:pitch w:val="variable"/>
    <w:sig w:usb0="00000001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BF7687" w14:textId="0BAE0C33" w:rsidR="00713A61" w:rsidRDefault="00566947">
    <w:pPr>
      <w:pStyle w:val="Pidipagina"/>
    </w:pPr>
    <w:r>
      <w:t>Ospedale</w:t>
    </w:r>
    <w:r w:rsidR="00713A61"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B01CF3" w14:textId="6BA54A8B" w:rsidR="00707657" w:rsidRDefault="00556ED6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</w:pPr>
    <w:r w:rsidRPr="000B2EB4">
      <w:rPr>
        <w:rFonts w:ascii="Century Gothic" w:hAnsi="Century Gothic" w:cs="AppleSystemUIFont"/>
        <w:lang w:eastAsia="it-IT"/>
      </w:rPr>
      <w:t>AOUI Verona Notizie</w:t>
    </w:r>
    <w:r w:rsidR="00700B07" w:rsidRPr="006C191D">
      <w:rPr>
        <w:rFonts w:ascii="Century Gothic" w:hAnsi="Century Gothic" w:cs="AppleSystemUIFont"/>
        <w:sz w:val="17"/>
        <w:szCs w:val="17"/>
        <w:lang w:eastAsia="it-IT"/>
      </w:rPr>
      <w:br/>
      <w:t>Registrazione al Tribunale di Verona</w:t>
    </w:r>
    <w:r w:rsidR="000B2EB4">
      <w:rPr>
        <w:rFonts w:ascii="Century Gothic" w:hAnsi="Century Gothic" w:cs="AppleSystemUIFont"/>
        <w:sz w:val="17"/>
        <w:szCs w:val="17"/>
        <w:lang w:eastAsia="it-IT"/>
      </w:rPr>
      <w:t xml:space="preserve"> </w:t>
    </w:r>
    <w:r w:rsidR="00700B07" w:rsidRPr="006C191D">
      <w:rPr>
        <w:rFonts w:ascii="Century Gothic" w:hAnsi="Century Gothic" w:cs="AppleSystemUIFont"/>
        <w:sz w:val="17"/>
        <w:szCs w:val="17"/>
        <w:lang w:eastAsia="it-IT"/>
      </w:rPr>
      <w:t xml:space="preserve">n° </w:t>
    </w:r>
    <w:r w:rsidR="00150CB8" w:rsidRPr="006C191D">
      <w:rPr>
        <w:rFonts w:ascii="Century Gothic" w:hAnsi="Century Gothic" w:cs="AppleSystemUIFont"/>
        <w:sz w:val="17"/>
        <w:szCs w:val="17"/>
        <w:lang w:eastAsia="it-IT"/>
      </w:rPr>
      <w:t>2222 del 23/10/2025</w:t>
    </w:r>
    <w:r w:rsidR="000B2EB4">
      <w:rPr>
        <w:rFonts w:ascii="Century Gothic" w:hAnsi="Century Gothic" w:cs="AppleSystemUIFont"/>
        <w:sz w:val="17"/>
        <w:szCs w:val="17"/>
        <w:lang w:eastAsia="it-IT"/>
      </w:rPr>
      <w:br/>
    </w:r>
    <w:r>
      <w:rPr>
        <w:rFonts w:ascii="Century Gothic" w:hAnsi="Century Gothic" w:cs="Century Gothic"/>
        <w:sz w:val="17"/>
        <w:szCs w:val="17"/>
      </w:rPr>
      <w:br/>
    </w:r>
    <w:r w:rsidR="00707657">
      <w:rPr>
        <w:rFonts w:ascii="Century Gothic" w:hAnsi="Century Gothic" w:cs="Century Gothic"/>
        <w:sz w:val="17"/>
        <w:szCs w:val="17"/>
      </w:rPr>
      <w:t>Sede Legale: P</w:t>
    </w:r>
    <w:r w:rsidR="00713DD1">
      <w:rPr>
        <w:rFonts w:ascii="Century Gothic" w:hAnsi="Century Gothic" w:cs="Century Gothic"/>
        <w:sz w:val="17"/>
        <w:szCs w:val="17"/>
      </w:rPr>
      <w:t>iazzale</w:t>
    </w:r>
    <w:r w:rsidR="00707657">
      <w:rPr>
        <w:rFonts w:ascii="Century Gothic" w:hAnsi="Century Gothic" w:cs="Century Gothic"/>
        <w:sz w:val="17"/>
        <w:szCs w:val="17"/>
      </w:rPr>
      <w:t xml:space="preserve"> A. Stefani, 1 – 37126 Verona</w:t>
    </w:r>
  </w:p>
  <w:p w14:paraId="2053420A" w14:textId="77777777" w:rsidR="00707657" w:rsidRDefault="00707657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</w:pPr>
    <w:r>
      <w:rPr>
        <w:rFonts w:ascii="Century Gothic" w:hAnsi="Century Gothic" w:cs="Century Gothic"/>
        <w:sz w:val="17"/>
        <w:szCs w:val="17"/>
      </w:rPr>
      <w:t>Tel. 045/812 1293 - 045/812 2206 - C.F. e P.IVA 03901420236</w:t>
    </w:r>
  </w:p>
  <w:p w14:paraId="3519301B" w14:textId="77777777" w:rsidR="00707657" w:rsidRDefault="003D7A5F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  <w:rPr>
        <w:sz w:val="16"/>
        <w:szCs w:val="16"/>
      </w:rPr>
    </w:pPr>
    <w:hyperlink r:id="rId1" w:history="1">
      <w:r w:rsidR="00707657">
        <w:rPr>
          <w:rStyle w:val="Collegamentoipertestuale"/>
          <w:rFonts w:ascii="Century Gothic" w:hAnsi="Century Gothic" w:cs="Century Gothic"/>
          <w:sz w:val="17"/>
          <w:szCs w:val="17"/>
        </w:rPr>
        <w:t>www.aovr.veneto.it</w:t>
      </w:r>
    </w:hyperlink>
    <w:r w:rsidR="00707657">
      <w:rPr>
        <w:rFonts w:ascii="Century Gothic" w:hAnsi="Century Gothic" w:cs="Century Gothic"/>
        <w:sz w:val="17"/>
        <w:szCs w:val="17"/>
      </w:rPr>
      <w:t xml:space="preserve">  -  e-mail: </w:t>
    </w:r>
    <w:hyperlink r:id="rId2" w:history="1">
      <w:r w:rsidR="00707657">
        <w:rPr>
          <w:rStyle w:val="Collegamentoipertestuale"/>
          <w:rFonts w:ascii="Century Gothic" w:hAnsi="Century Gothic" w:cs="Century Gothic"/>
          <w:sz w:val="17"/>
          <w:szCs w:val="17"/>
        </w:rPr>
        <w:t>ufficio.stampa@aovr.veneto.it</w:t>
      </w:r>
    </w:hyperlink>
  </w:p>
  <w:p w14:paraId="225757AC" w14:textId="7FBB7BC3" w:rsidR="00707657" w:rsidRDefault="00707657">
    <w:pPr>
      <w:pStyle w:val="Pidipagina"/>
      <w:tabs>
        <w:tab w:val="clear" w:pos="4819"/>
        <w:tab w:val="clear" w:pos="9638"/>
      </w:tabs>
      <w:spacing w:before="40" w:line="260" w:lineRule="exact"/>
      <w:jc w:val="center"/>
    </w:pPr>
    <w:r>
      <w:rPr>
        <w:sz w:val="16"/>
        <w:szCs w:val="16"/>
      </w:rPr>
      <w:t xml:space="preserve">- </w:t>
    </w:r>
    <w:r>
      <w:rPr>
        <w:rStyle w:val="Numeropagina"/>
        <w:sz w:val="16"/>
        <w:szCs w:val="16"/>
      </w:rPr>
      <w:fldChar w:fldCharType="begin"/>
    </w:r>
    <w:r>
      <w:rPr>
        <w:rStyle w:val="Numeropagina"/>
        <w:sz w:val="16"/>
        <w:szCs w:val="16"/>
      </w:rPr>
      <w:instrText xml:space="preserve"> PAGE </w:instrText>
    </w:r>
    <w:r>
      <w:rPr>
        <w:rStyle w:val="Numeropagina"/>
        <w:sz w:val="16"/>
        <w:szCs w:val="16"/>
      </w:rPr>
      <w:fldChar w:fldCharType="separate"/>
    </w:r>
    <w:r w:rsidR="00C22A8D">
      <w:rPr>
        <w:rStyle w:val="Numeropagina"/>
        <w:noProof/>
        <w:sz w:val="16"/>
        <w:szCs w:val="16"/>
      </w:rPr>
      <w:t>2</w:t>
    </w:r>
    <w:r>
      <w:rPr>
        <w:rStyle w:val="Numeropagina"/>
        <w:sz w:val="16"/>
        <w:szCs w:val="16"/>
      </w:rPr>
      <w:fldChar w:fldCharType="end"/>
    </w:r>
    <w:r>
      <w:rPr>
        <w:rStyle w:val="Numeropagina"/>
        <w:sz w:val="16"/>
        <w:szCs w:val="16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14AE72B" w14:textId="77777777" w:rsidR="003D7A5F" w:rsidRDefault="003D7A5F">
      <w:r>
        <w:separator/>
      </w:r>
    </w:p>
  </w:footnote>
  <w:footnote w:type="continuationSeparator" w:id="0">
    <w:p w14:paraId="46722BFD" w14:textId="77777777" w:rsidR="003D7A5F" w:rsidRDefault="003D7A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72F19C" w14:textId="34309879" w:rsidR="00BA5023" w:rsidRDefault="00BA5023" w:rsidP="00BA5023">
    <w:pPr>
      <w:pStyle w:val="Intestazione"/>
      <w:tabs>
        <w:tab w:val="clear" w:pos="4819"/>
        <w:tab w:val="clear" w:pos="9638"/>
      </w:tabs>
      <w:spacing w:before="40"/>
      <w:jc w:val="center"/>
    </w:pPr>
    <w:r>
      <w:rPr>
        <w:noProof/>
        <w:lang w:eastAsia="it-IT"/>
      </w:rPr>
      <w:drawing>
        <wp:anchor distT="0" distB="0" distL="114935" distR="114935" simplePos="0" relativeHeight="251660288" behindDoc="0" locked="0" layoutInCell="1" allowOverlap="1" wp14:anchorId="7540E142" wp14:editId="6FBED2CB">
          <wp:simplePos x="0" y="0"/>
          <wp:positionH relativeFrom="column">
            <wp:posOffset>229870</wp:posOffset>
          </wp:positionH>
          <wp:positionV relativeFrom="paragraph">
            <wp:posOffset>-12517</wp:posOffset>
          </wp:positionV>
          <wp:extent cx="629920" cy="608782"/>
          <wp:effectExtent l="0" t="0" r="5080" b="1270"/>
          <wp:wrapNone/>
          <wp:docPr id="1" name="Oggetto 1" descr="Logo Ospedale Santa Casa di Misericordia in Veron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ggetto 1" descr="Logo Ospedale Santa Casa di Misericordia in Verona"/>
                  <pic:cNvPicPr>
                    <a:picLocks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259" t="-29" r="-26" b="7470"/>
                  <a:stretch>
                    <a:fillRect/>
                  </a:stretch>
                </pic:blipFill>
                <pic:spPr bwMode="auto">
                  <a:xfrm>
                    <a:off x="0" y="0"/>
                    <a:ext cx="632507" cy="611282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935" distR="114935" simplePos="0" relativeHeight="251659264" behindDoc="0" locked="0" layoutInCell="1" allowOverlap="1" wp14:anchorId="50383CAB" wp14:editId="15CF4DF9">
          <wp:simplePos x="0" y="0"/>
          <wp:positionH relativeFrom="column">
            <wp:posOffset>5384800</wp:posOffset>
          </wp:positionH>
          <wp:positionV relativeFrom="paragraph">
            <wp:posOffset>-8255</wp:posOffset>
          </wp:positionV>
          <wp:extent cx="574675" cy="574675"/>
          <wp:effectExtent l="0" t="0" r="0" b="0"/>
          <wp:wrapNone/>
          <wp:docPr id="2" name="Immagine 1" descr="Logo Università degli Studi di Veron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1" descr="Logo Università degli Studi di Verona"/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1" t="-11" r="-11" b="-11"/>
                  <a:stretch>
                    <a:fillRect/>
                  </a:stretch>
                </pic:blipFill>
                <pic:spPr bwMode="auto">
                  <a:xfrm>
                    <a:off x="0" y="0"/>
                    <a:ext cx="574675" cy="5746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z w:val="26"/>
        <w:szCs w:val="26"/>
      </w:rPr>
      <w:t>AZIENDA OSPEDALIERA UNIVERSITARIA INTEGRATA</w:t>
    </w:r>
  </w:p>
  <w:p w14:paraId="07ABD8D3" w14:textId="7734EBE9" w:rsidR="00BA5023" w:rsidRDefault="00BA5023" w:rsidP="00BA5023">
    <w:pPr>
      <w:pStyle w:val="Intestazione"/>
      <w:tabs>
        <w:tab w:val="clear" w:pos="4819"/>
        <w:tab w:val="clear" w:pos="9638"/>
      </w:tabs>
      <w:spacing w:before="20" w:after="40"/>
      <w:jc w:val="center"/>
    </w:pPr>
    <w:r>
      <w:rPr>
        <w:sz w:val="26"/>
        <w:szCs w:val="26"/>
      </w:rPr>
      <w:t>VERONA</w:t>
    </w:r>
  </w:p>
  <w:p w14:paraId="66A9C063" w14:textId="037D80D1" w:rsidR="00BA5023" w:rsidRDefault="00BA5023" w:rsidP="00BA5023">
    <w:pPr>
      <w:pStyle w:val="Intestazione"/>
      <w:tabs>
        <w:tab w:val="clear" w:pos="4819"/>
        <w:tab w:val="clear" w:pos="9638"/>
      </w:tabs>
      <w:spacing w:before="40" w:after="40"/>
      <w:jc w:val="center"/>
    </w:pPr>
    <w:r>
      <w:t>(D.</w:t>
    </w:r>
    <w:r w:rsidR="00E32BA5">
      <w:t xml:space="preserve"> </w:t>
    </w:r>
    <w:r>
      <w:t>Lgs. n. 517/1999 - Art. 3 L.R. Veneto n. 18/2009)</w:t>
    </w:r>
  </w:p>
  <w:tbl>
    <w:tblPr>
      <w:tblW w:w="9778" w:type="dxa"/>
      <w:jc w:val="center"/>
      <w:tblLayout w:type="fixed"/>
      <w:tblLook w:val="0000" w:firstRow="0" w:lastRow="0" w:firstColumn="0" w:lastColumn="0" w:noHBand="0" w:noVBand="0"/>
    </w:tblPr>
    <w:tblGrid>
      <w:gridCol w:w="9778"/>
    </w:tblGrid>
    <w:tr w:rsidR="00BA5023" w14:paraId="3F3BD800" w14:textId="77777777" w:rsidTr="00131B5A">
      <w:trPr>
        <w:jc w:val="center"/>
      </w:trPr>
      <w:tc>
        <w:tcPr>
          <w:tcW w:w="9778" w:type="dxa"/>
          <w:tcBorders>
            <w:top w:val="single" w:sz="4" w:space="0" w:color="000000"/>
            <w:bottom w:val="single" w:sz="4" w:space="0" w:color="000000"/>
          </w:tcBorders>
        </w:tcPr>
        <w:p w14:paraId="1946767A" w14:textId="6BF3AB32" w:rsidR="00BA5023" w:rsidRDefault="00BA5023" w:rsidP="00BA5023">
          <w:pPr>
            <w:pStyle w:val="Intestazione"/>
            <w:tabs>
              <w:tab w:val="clear" w:pos="4819"/>
              <w:tab w:val="clear" w:pos="9638"/>
            </w:tabs>
            <w:spacing w:before="60" w:after="60"/>
            <w:jc w:val="center"/>
          </w:pPr>
          <w:r>
            <w:rPr>
              <w:rFonts w:ascii="Century Gothic" w:hAnsi="Century Gothic" w:cs="Century Gothic"/>
              <w:b/>
            </w:rPr>
            <w:t>Ufficio Comunicazione Esterna e Stampa</w:t>
          </w:r>
        </w:p>
      </w:tc>
    </w:tr>
  </w:tbl>
  <w:p w14:paraId="7B7F3CFA" w14:textId="77777777" w:rsidR="00E22C6C" w:rsidRPr="00713A61" w:rsidRDefault="00E22C6C" w:rsidP="00E22C6C">
    <w:pPr>
      <w:pStyle w:val="Intestazione"/>
      <w:tabs>
        <w:tab w:val="clear" w:pos="4819"/>
        <w:tab w:val="clear" w:pos="9638"/>
      </w:tabs>
      <w:spacing w:before="60" w:after="60"/>
      <w:rPr>
        <w:rFonts w:ascii="Century Gothic" w:hAnsi="Century Gothic" w:cs="Century Gothic"/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EB08BB"/>
    <w:multiLevelType w:val="hybridMultilevel"/>
    <w:tmpl w:val="2286E170"/>
    <w:lvl w:ilvl="0" w:tplc="F1CA820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850B78"/>
    <w:multiLevelType w:val="hybridMultilevel"/>
    <w:tmpl w:val="4A680D9A"/>
    <w:lvl w:ilvl="0" w:tplc="F1CA820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527630"/>
    <w:multiLevelType w:val="hybridMultilevel"/>
    <w:tmpl w:val="B3CC0D32"/>
    <w:lvl w:ilvl="0" w:tplc="F1CA820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F90BD8"/>
    <w:multiLevelType w:val="hybridMultilevel"/>
    <w:tmpl w:val="3C5AB956"/>
    <w:lvl w:ilvl="0" w:tplc="F1CA820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8E6BAD"/>
    <w:multiLevelType w:val="hybridMultilevel"/>
    <w:tmpl w:val="256C01A8"/>
    <w:lvl w:ilvl="0" w:tplc="F1CA820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F1C6D0F"/>
    <w:multiLevelType w:val="hybridMultilevel"/>
    <w:tmpl w:val="71FA01F6"/>
    <w:lvl w:ilvl="0" w:tplc="F1CA820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2FE6579"/>
    <w:multiLevelType w:val="hybridMultilevel"/>
    <w:tmpl w:val="5D7E1B14"/>
    <w:lvl w:ilvl="0" w:tplc="F1CA820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1431C0"/>
    <w:multiLevelType w:val="hybridMultilevel"/>
    <w:tmpl w:val="99E21AB6"/>
    <w:lvl w:ilvl="0" w:tplc="F1CA820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03452AA"/>
    <w:multiLevelType w:val="hybridMultilevel"/>
    <w:tmpl w:val="2AFC664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3"/>
  </w:num>
  <w:num w:numId="5">
    <w:abstractNumId w:val="4"/>
  </w:num>
  <w:num w:numId="6">
    <w:abstractNumId w:val="7"/>
  </w:num>
  <w:num w:numId="7">
    <w:abstractNumId w:val="0"/>
  </w:num>
  <w:num w:numId="8">
    <w:abstractNumId w:val="1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63AF"/>
    <w:rsid w:val="00005E90"/>
    <w:rsid w:val="000066A0"/>
    <w:rsid w:val="000168B2"/>
    <w:rsid w:val="00016F15"/>
    <w:rsid w:val="00023C17"/>
    <w:rsid w:val="000337FB"/>
    <w:rsid w:val="0004436F"/>
    <w:rsid w:val="000446CC"/>
    <w:rsid w:val="00044B43"/>
    <w:rsid w:val="00044DDB"/>
    <w:rsid w:val="00052B8C"/>
    <w:rsid w:val="00067F6E"/>
    <w:rsid w:val="00070EA5"/>
    <w:rsid w:val="00071B73"/>
    <w:rsid w:val="00076957"/>
    <w:rsid w:val="00076CA5"/>
    <w:rsid w:val="000972EB"/>
    <w:rsid w:val="000A5B85"/>
    <w:rsid w:val="000B2E1D"/>
    <w:rsid w:val="000B2EB4"/>
    <w:rsid w:val="000C7E5F"/>
    <w:rsid w:val="000D1844"/>
    <w:rsid w:val="000D7F2E"/>
    <w:rsid w:val="000F4393"/>
    <w:rsid w:val="000F5FA6"/>
    <w:rsid w:val="000F75FE"/>
    <w:rsid w:val="001074C9"/>
    <w:rsid w:val="00126DB0"/>
    <w:rsid w:val="00131701"/>
    <w:rsid w:val="00131B5A"/>
    <w:rsid w:val="00135077"/>
    <w:rsid w:val="00142FEC"/>
    <w:rsid w:val="00150CB8"/>
    <w:rsid w:val="00163EF3"/>
    <w:rsid w:val="00171491"/>
    <w:rsid w:val="00186FDF"/>
    <w:rsid w:val="00195263"/>
    <w:rsid w:val="001B222B"/>
    <w:rsid w:val="001B3A4C"/>
    <w:rsid w:val="001C0E3D"/>
    <w:rsid w:val="001C1E8B"/>
    <w:rsid w:val="001C4E07"/>
    <w:rsid w:val="001C5A19"/>
    <w:rsid w:val="001D41D0"/>
    <w:rsid w:val="001D6619"/>
    <w:rsid w:val="001E6E94"/>
    <w:rsid w:val="00205D9D"/>
    <w:rsid w:val="0021265E"/>
    <w:rsid w:val="00220E80"/>
    <w:rsid w:val="00231941"/>
    <w:rsid w:val="00232800"/>
    <w:rsid w:val="00251022"/>
    <w:rsid w:val="00256D92"/>
    <w:rsid w:val="00261197"/>
    <w:rsid w:val="0026507D"/>
    <w:rsid w:val="002665D0"/>
    <w:rsid w:val="00281D76"/>
    <w:rsid w:val="00287888"/>
    <w:rsid w:val="002955DF"/>
    <w:rsid w:val="00295BDE"/>
    <w:rsid w:val="002A0A0B"/>
    <w:rsid w:val="002A6D44"/>
    <w:rsid w:val="002B0FD3"/>
    <w:rsid w:val="002B1719"/>
    <w:rsid w:val="002B5517"/>
    <w:rsid w:val="002C439C"/>
    <w:rsid w:val="002D1BC7"/>
    <w:rsid w:val="002D5DFA"/>
    <w:rsid w:val="002E309A"/>
    <w:rsid w:val="002E3E4E"/>
    <w:rsid w:val="00304E1B"/>
    <w:rsid w:val="00322772"/>
    <w:rsid w:val="00330B0F"/>
    <w:rsid w:val="00330F03"/>
    <w:rsid w:val="00334395"/>
    <w:rsid w:val="00334DBD"/>
    <w:rsid w:val="0034525B"/>
    <w:rsid w:val="00355BA9"/>
    <w:rsid w:val="003578DD"/>
    <w:rsid w:val="00364CE1"/>
    <w:rsid w:val="003656B7"/>
    <w:rsid w:val="0036769C"/>
    <w:rsid w:val="00385F98"/>
    <w:rsid w:val="00387F33"/>
    <w:rsid w:val="0039096F"/>
    <w:rsid w:val="003937B7"/>
    <w:rsid w:val="003949E3"/>
    <w:rsid w:val="003B17E5"/>
    <w:rsid w:val="003C7B4E"/>
    <w:rsid w:val="003D749C"/>
    <w:rsid w:val="003D7A5F"/>
    <w:rsid w:val="003F7BAD"/>
    <w:rsid w:val="00423F60"/>
    <w:rsid w:val="00426A95"/>
    <w:rsid w:val="004339E2"/>
    <w:rsid w:val="00434B3E"/>
    <w:rsid w:val="00435984"/>
    <w:rsid w:val="00435D36"/>
    <w:rsid w:val="00447C91"/>
    <w:rsid w:val="004502AF"/>
    <w:rsid w:val="004642C6"/>
    <w:rsid w:val="00467AF3"/>
    <w:rsid w:val="00467D83"/>
    <w:rsid w:val="00471005"/>
    <w:rsid w:val="00472792"/>
    <w:rsid w:val="00472A5B"/>
    <w:rsid w:val="00473C29"/>
    <w:rsid w:val="00476FB4"/>
    <w:rsid w:val="00492133"/>
    <w:rsid w:val="004962E5"/>
    <w:rsid w:val="004B498F"/>
    <w:rsid w:val="004C3357"/>
    <w:rsid w:val="004E54B1"/>
    <w:rsid w:val="004E7368"/>
    <w:rsid w:val="00500082"/>
    <w:rsid w:val="005014B8"/>
    <w:rsid w:val="00510E3E"/>
    <w:rsid w:val="0051496B"/>
    <w:rsid w:val="0052520E"/>
    <w:rsid w:val="00541E00"/>
    <w:rsid w:val="00542020"/>
    <w:rsid w:val="00547390"/>
    <w:rsid w:val="00553B6F"/>
    <w:rsid w:val="005557B7"/>
    <w:rsid w:val="00556ED6"/>
    <w:rsid w:val="00561232"/>
    <w:rsid w:val="00566947"/>
    <w:rsid w:val="0057595C"/>
    <w:rsid w:val="005778AA"/>
    <w:rsid w:val="00580DB2"/>
    <w:rsid w:val="00590417"/>
    <w:rsid w:val="00595025"/>
    <w:rsid w:val="005A1D34"/>
    <w:rsid w:val="005C6023"/>
    <w:rsid w:val="005C6DC8"/>
    <w:rsid w:val="005E3FFF"/>
    <w:rsid w:val="005E4D16"/>
    <w:rsid w:val="005F3128"/>
    <w:rsid w:val="005F3C32"/>
    <w:rsid w:val="005F46FF"/>
    <w:rsid w:val="0060241B"/>
    <w:rsid w:val="00603F95"/>
    <w:rsid w:val="006213F7"/>
    <w:rsid w:val="00626CD5"/>
    <w:rsid w:val="00644AEC"/>
    <w:rsid w:val="006467E4"/>
    <w:rsid w:val="00650510"/>
    <w:rsid w:val="006539B7"/>
    <w:rsid w:val="00655D4D"/>
    <w:rsid w:val="00661363"/>
    <w:rsid w:val="00665EC3"/>
    <w:rsid w:val="00681180"/>
    <w:rsid w:val="00691749"/>
    <w:rsid w:val="0069453E"/>
    <w:rsid w:val="00694E7C"/>
    <w:rsid w:val="006A0F88"/>
    <w:rsid w:val="006A21A2"/>
    <w:rsid w:val="006B16A8"/>
    <w:rsid w:val="006B1D75"/>
    <w:rsid w:val="006B3F2B"/>
    <w:rsid w:val="006B63A7"/>
    <w:rsid w:val="006C191D"/>
    <w:rsid w:val="006C39BE"/>
    <w:rsid w:val="006C3A76"/>
    <w:rsid w:val="006C5801"/>
    <w:rsid w:val="006C5A3D"/>
    <w:rsid w:val="006F297B"/>
    <w:rsid w:val="00700B07"/>
    <w:rsid w:val="00701E98"/>
    <w:rsid w:val="0070381B"/>
    <w:rsid w:val="00703D50"/>
    <w:rsid w:val="00707657"/>
    <w:rsid w:val="00713A61"/>
    <w:rsid w:val="00713DD1"/>
    <w:rsid w:val="00726A76"/>
    <w:rsid w:val="00731C76"/>
    <w:rsid w:val="00732B7F"/>
    <w:rsid w:val="00734DF2"/>
    <w:rsid w:val="00736EE7"/>
    <w:rsid w:val="00740E42"/>
    <w:rsid w:val="00741D85"/>
    <w:rsid w:val="00783814"/>
    <w:rsid w:val="00783AB7"/>
    <w:rsid w:val="007A2E1C"/>
    <w:rsid w:val="007A3EF3"/>
    <w:rsid w:val="007B545E"/>
    <w:rsid w:val="007B59A9"/>
    <w:rsid w:val="007D1651"/>
    <w:rsid w:val="007D1C63"/>
    <w:rsid w:val="007D2F89"/>
    <w:rsid w:val="007D4E55"/>
    <w:rsid w:val="007D73B1"/>
    <w:rsid w:val="007E1D87"/>
    <w:rsid w:val="007E342D"/>
    <w:rsid w:val="007E5444"/>
    <w:rsid w:val="007F318B"/>
    <w:rsid w:val="007F70C6"/>
    <w:rsid w:val="00800D71"/>
    <w:rsid w:val="0080618A"/>
    <w:rsid w:val="00811322"/>
    <w:rsid w:val="0081167A"/>
    <w:rsid w:val="00821C9B"/>
    <w:rsid w:val="00822093"/>
    <w:rsid w:val="008266D4"/>
    <w:rsid w:val="00832A0A"/>
    <w:rsid w:val="008333A8"/>
    <w:rsid w:val="00842EBB"/>
    <w:rsid w:val="008430AC"/>
    <w:rsid w:val="008521E4"/>
    <w:rsid w:val="00861987"/>
    <w:rsid w:val="0086411B"/>
    <w:rsid w:val="00864AF0"/>
    <w:rsid w:val="008806E4"/>
    <w:rsid w:val="00891402"/>
    <w:rsid w:val="00894F8F"/>
    <w:rsid w:val="00895CB6"/>
    <w:rsid w:val="00896BFB"/>
    <w:rsid w:val="008A1F74"/>
    <w:rsid w:val="008E1249"/>
    <w:rsid w:val="008E4C10"/>
    <w:rsid w:val="008F0A38"/>
    <w:rsid w:val="00904ED4"/>
    <w:rsid w:val="00910F3B"/>
    <w:rsid w:val="009119B9"/>
    <w:rsid w:val="00914144"/>
    <w:rsid w:val="00917CA3"/>
    <w:rsid w:val="00922B6E"/>
    <w:rsid w:val="00925F41"/>
    <w:rsid w:val="00931781"/>
    <w:rsid w:val="00941567"/>
    <w:rsid w:val="00945CFD"/>
    <w:rsid w:val="0096197D"/>
    <w:rsid w:val="009776B7"/>
    <w:rsid w:val="009824CE"/>
    <w:rsid w:val="009A1E67"/>
    <w:rsid w:val="009A65F4"/>
    <w:rsid w:val="009B2D68"/>
    <w:rsid w:val="009B484E"/>
    <w:rsid w:val="009B4944"/>
    <w:rsid w:val="009B6A29"/>
    <w:rsid w:val="009C4547"/>
    <w:rsid w:val="009C55E6"/>
    <w:rsid w:val="009D64F6"/>
    <w:rsid w:val="009D703D"/>
    <w:rsid w:val="009E203C"/>
    <w:rsid w:val="009E7E75"/>
    <w:rsid w:val="009F1CD4"/>
    <w:rsid w:val="00A029FE"/>
    <w:rsid w:val="00A03AFD"/>
    <w:rsid w:val="00A26749"/>
    <w:rsid w:val="00A345D2"/>
    <w:rsid w:val="00A45471"/>
    <w:rsid w:val="00A472C6"/>
    <w:rsid w:val="00A5491E"/>
    <w:rsid w:val="00A6565B"/>
    <w:rsid w:val="00A6626D"/>
    <w:rsid w:val="00A6664E"/>
    <w:rsid w:val="00A66BC4"/>
    <w:rsid w:val="00A72ED0"/>
    <w:rsid w:val="00A817B3"/>
    <w:rsid w:val="00AB3C51"/>
    <w:rsid w:val="00AC1A26"/>
    <w:rsid w:val="00AC21DD"/>
    <w:rsid w:val="00AC7CB2"/>
    <w:rsid w:val="00AD06B0"/>
    <w:rsid w:val="00AD0FCD"/>
    <w:rsid w:val="00AE0406"/>
    <w:rsid w:val="00AE216D"/>
    <w:rsid w:val="00AE7CD4"/>
    <w:rsid w:val="00AF32CF"/>
    <w:rsid w:val="00B018FE"/>
    <w:rsid w:val="00B15A3D"/>
    <w:rsid w:val="00B20C9A"/>
    <w:rsid w:val="00B2468F"/>
    <w:rsid w:val="00B30658"/>
    <w:rsid w:val="00B6215F"/>
    <w:rsid w:val="00B6242F"/>
    <w:rsid w:val="00B64EE7"/>
    <w:rsid w:val="00B66F65"/>
    <w:rsid w:val="00B70D3A"/>
    <w:rsid w:val="00B73BCF"/>
    <w:rsid w:val="00B8523C"/>
    <w:rsid w:val="00B901A1"/>
    <w:rsid w:val="00BA5023"/>
    <w:rsid w:val="00BA71D6"/>
    <w:rsid w:val="00BC550C"/>
    <w:rsid w:val="00BC6A91"/>
    <w:rsid w:val="00BC76ED"/>
    <w:rsid w:val="00BD2A6E"/>
    <w:rsid w:val="00BE0706"/>
    <w:rsid w:val="00BE2B97"/>
    <w:rsid w:val="00BE58AE"/>
    <w:rsid w:val="00BE6B57"/>
    <w:rsid w:val="00BF0FF9"/>
    <w:rsid w:val="00BF2B6C"/>
    <w:rsid w:val="00C04BDD"/>
    <w:rsid w:val="00C05A0C"/>
    <w:rsid w:val="00C22A8D"/>
    <w:rsid w:val="00C22A90"/>
    <w:rsid w:val="00C43B4F"/>
    <w:rsid w:val="00C43D27"/>
    <w:rsid w:val="00C81136"/>
    <w:rsid w:val="00C92FC6"/>
    <w:rsid w:val="00C97457"/>
    <w:rsid w:val="00CA6F49"/>
    <w:rsid w:val="00CC09D0"/>
    <w:rsid w:val="00CF41B1"/>
    <w:rsid w:val="00D05C74"/>
    <w:rsid w:val="00D12011"/>
    <w:rsid w:val="00D15BB2"/>
    <w:rsid w:val="00D22AFA"/>
    <w:rsid w:val="00D23B55"/>
    <w:rsid w:val="00D27D2B"/>
    <w:rsid w:val="00D47BC5"/>
    <w:rsid w:val="00D75A84"/>
    <w:rsid w:val="00D817E7"/>
    <w:rsid w:val="00D84103"/>
    <w:rsid w:val="00D90207"/>
    <w:rsid w:val="00D935EF"/>
    <w:rsid w:val="00DB4E81"/>
    <w:rsid w:val="00DC449B"/>
    <w:rsid w:val="00DC7DC5"/>
    <w:rsid w:val="00DD4224"/>
    <w:rsid w:val="00DD63AF"/>
    <w:rsid w:val="00DE14DF"/>
    <w:rsid w:val="00DF31AE"/>
    <w:rsid w:val="00E03611"/>
    <w:rsid w:val="00E1135B"/>
    <w:rsid w:val="00E12EBE"/>
    <w:rsid w:val="00E22C6C"/>
    <w:rsid w:val="00E24D52"/>
    <w:rsid w:val="00E254A1"/>
    <w:rsid w:val="00E307A7"/>
    <w:rsid w:val="00E32BA5"/>
    <w:rsid w:val="00E53464"/>
    <w:rsid w:val="00E54BD9"/>
    <w:rsid w:val="00E57256"/>
    <w:rsid w:val="00E600EC"/>
    <w:rsid w:val="00E63270"/>
    <w:rsid w:val="00E7016A"/>
    <w:rsid w:val="00E71FC1"/>
    <w:rsid w:val="00E72687"/>
    <w:rsid w:val="00E80FB8"/>
    <w:rsid w:val="00EA36AA"/>
    <w:rsid w:val="00EA7DA0"/>
    <w:rsid w:val="00EB2F96"/>
    <w:rsid w:val="00EB704F"/>
    <w:rsid w:val="00EC5990"/>
    <w:rsid w:val="00EC69E8"/>
    <w:rsid w:val="00EC72B1"/>
    <w:rsid w:val="00EC7F78"/>
    <w:rsid w:val="00EE7A9F"/>
    <w:rsid w:val="00EF5441"/>
    <w:rsid w:val="00F00774"/>
    <w:rsid w:val="00F16446"/>
    <w:rsid w:val="00F17C15"/>
    <w:rsid w:val="00F3661F"/>
    <w:rsid w:val="00F3670F"/>
    <w:rsid w:val="00F4463F"/>
    <w:rsid w:val="00F47AA0"/>
    <w:rsid w:val="00F56017"/>
    <w:rsid w:val="00F750B0"/>
    <w:rsid w:val="00F75CEE"/>
    <w:rsid w:val="00F75ED1"/>
    <w:rsid w:val="00F80C10"/>
    <w:rsid w:val="00F810D1"/>
    <w:rsid w:val="00F92889"/>
    <w:rsid w:val="00F93BF3"/>
    <w:rsid w:val="00FA530D"/>
    <w:rsid w:val="00FB6122"/>
    <w:rsid w:val="00FC0A47"/>
    <w:rsid w:val="00FC27A8"/>
    <w:rsid w:val="00FC438A"/>
    <w:rsid w:val="00FD7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3C93A3D4"/>
  <w15:chartTrackingRefBased/>
  <w15:docId w15:val="{5708FD95-4067-D645-9383-81198AA5C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suppressAutoHyphens/>
    </w:pPr>
    <w:rPr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Carpredefinitoparagrafo1">
    <w:name w:val="Car. predefinito paragrafo1"/>
  </w:style>
  <w:style w:type="character" w:styleId="Collegamentoipertestuale">
    <w:name w:val="Hyperlink"/>
    <w:rPr>
      <w:color w:val="0000FF"/>
      <w:u w:val="single"/>
    </w:rPr>
  </w:style>
  <w:style w:type="character" w:styleId="Numeropagina">
    <w:name w:val="page number"/>
    <w:basedOn w:val="Carpredefinitoparagrafo1"/>
  </w:style>
  <w:style w:type="character" w:customStyle="1" w:styleId="Menzionenonrisolta1">
    <w:name w:val="Menzione non risolta1"/>
    <w:rPr>
      <w:color w:val="605E5C"/>
      <w:shd w:val="clear" w:color="auto" w:fill="E1DFDD"/>
    </w:rPr>
  </w:style>
  <w:style w:type="character" w:customStyle="1" w:styleId="TitoloCarattere">
    <w:name w:val="Titolo Carattere"/>
    <w:rPr>
      <w:rFonts w:ascii="Calibri Light" w:eastAsia="Times New Roman" w:hAnsi="Calibri Light" w:cs="Times New Roman"/>
      <w:b/>
      <w:bCs/>
      <w:kern w:val="2"/>
      <w:sz w:val="32"/>
      <w:szCs w:val="32"/>
    </w:rPr>
  </w:style>
  <w:style w:type="character" w:customStyle="1" w:styleId="SottotitoloCarattere">
    <w:name w:val="Sottotitolo Carattere"/>
    <w:rPr>
      <w:rFonts w:ascii="Calibri Light" w:eastAsia="Times New Roman" w:hAnsi="Calibri Light" w:cs="Times New Roman"/>
      <w:sz w:val="24"/>
      <w:szCs w:val="24"/>
    </w:rPr>
  </w:style>
  <w:style w:type="character" w:styleId="Enfasigrassetto">
    <w:name w:val="Strong"/>
    <w:uiPriority w:val="22"/>
    <w:qFormat/>
    <w:rPr>
      <w:b/>
      <w:bCs/>
    </w:rPr>
  </w:style>
  <w:style w:type="paragraph" w:customStyle="1" w:styleId="Titolo1">
    <w:name w:val="Titolo1"/>
    <w:basedOn w:val="Normale"/>
    <w:next w:val="Normale"/>
    <w:pPr>
      <w:spacing w:before="240" w:after="60"/>
      <w:jc w:val="center"/>
    </w:pPr>
    <w:rPr>
      <w:rFonts w:ascii="Calibri Light" w:hAnsi="Calibri Light"/>
      <w:b/>
      <w:bCs/>
      <w:kern w:val="2"/>
      <w:sz w:val="32"/>
      <w:szCs w:val="32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pPr>
      <w:suppressLineNumbers/>
    </w:pPr>
    <w:rPr>
      <w:rFonts w:cs="Arial"/>
    </w:rPr>
  </w:style>
  <w:style w:type="paragraph" w:customStyle="1" w:styleId="Intestazioneepidipagina">
    <w:name w:val="Intestazione e piè di pagina"/>
    <w:basedOn w:val="Normale"/>
    <w:pPr>
      <w:suppressLineNumbers/>
      <w:tabs>
        <w:tab w:val="center" w:pos="4819"/>
        <w:tab w:val="right" w:pos="9638"/>
      </w:tabs>
    </w:p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customStyle="1" w:styleId="Corpodeltesto31">
    <w:name w:val="Corpo del testo 31"/>
    <w:basedOn w:val="Normale"/>
    <w:pPr>
      <w:spacing w:after="120"/>
    </w:pPr>
    <w:rPr>
      <w:sz w:val="16"/>
      <w:szCs w:val="16"/>
    </w:rPr>
  </w:style>
  <w:style w:type="paragraph" w:styleId="NormaleWeb">
    <w:name w:val="Normal (Web)"/>
    <w:basedOn w:val="Normale"/>
    <w:pPr>
      <w:spacing w:before="100" w:after="100"/>
    </w:pPr>
    <w:rPr>
      <w:rFonts w:eastAsia="MS Mincho"/>
      <w:kern w:val="2"/>
      <w:sz w:val="24"/>
      <w:szCs w:val="24"/>
      <w:lang w:eastAsia="ja-JP"/>
    </w:rPr>
  </w:style>
  <w:style w:type="paragraph" w:styleId="Sottotitolo">
    <w:name w:val="Subtitle"/>
    <w:basedOn w:val="Normale"/>
    <w:next w:val="Normale"/>
    <w:qFormat/>
    <w:pPr>
      <w:spacing w:after="60"/>
      <w:jc w:val="center"/>
    </w:pPr>
    <w:rPr>
      <w:rFonts w:ascii="Calibri Light" w:hAnsi="Calibri Light"/>
      <w:sz w:val="24"/>
      <w:szCs w:val="24"/>
    </w:rPr>
  </w:style>
  <w:style w:type="paragraph" w:customStyle="1" w:styleId="Contenutotabella">
    <w:name w:val="Contenuto tabella"/>
    <w:basedOn w:val="Normale"/>
    <w:pPr>
      <w:widowControl w:val="0"/>
      <w:suppressLineNumbers/>
    </w:pPr>
  </w:style>
  <w:style w:type="paragraph" w:customStyle="1" w:styleId="Titolotabella">
    <w:name w:val="Titolo tabella"/>
    <w:basedOn w:val="Contenutotabella"/>
    <w:pPr>
      <w:jc w:val="center"/>
    </w:pPr>
    <w:rPr>
      <w:b/>
      <w:bCs/>
    </w:rPr>
  </w:style>
  <w:style w:type="table" w:styleId="Grigliatabella">
    <w:name w:val="Table Grid"/>
    <w:basedOn w:val="Tabellanormale"/>
    <w:uiPriority w:val="39"/>
    <w:rsid w:val="00387F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171491"/>
    <w:pPr>
      <w:ind w:left="720"/>
      <w:contextualSpacing/>
    </w:pPr>
  </w:style>
  <w:style w:type="character" w:styleId="Collegamentovisitato">
    <w:name w:val="FollowedHyperlink"/>
    <w:basedOn w:val="Carpredefinitoparagrafo"/>
    <w:uiPriority w:val="99"/>
    <w:semiHidden/>
    <w:unhideWhenUsed/>
    <w:rsid w:val="007D4E55"/>
    <w:rPr>
      <w:color w:val="96607D" w:themeColor="followedHyperlink"/>
      <w:u w:val="single"/>
    </w:rPr>
  </w:style>
  <w:style w:type="character" w:customStyle="1" w:styleId="Menzionenonrisolta2">
    <w:name w:val="Menzione non risolta2"/>
    <w:basedOn w:val="Carpredefinitoparagrafo"/>
    <w:uiPriority w:val="99"/>
    <w:semiHidden/>
    <w:unhideWhenUsed/>
    <w:rsid w:val="0004436F"/>
    <w:rPr>
      <w:color w:val="605E5C"/>
      <w:shd w:val="clear" w:color="auto" w:fill="E1DFDD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F75C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79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80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07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974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6711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3701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6891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04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64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28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7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80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35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902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072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60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73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370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58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09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79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730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562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4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917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20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88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62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8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72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218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064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83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03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476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510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18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eet.google.com/dfh-nkwu-nmn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neurologia.a@aovr.veneto.it" TargetMode="Externa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ufficio.stampa@aovr.veneto.it" TargetMode="External"/><Relationship Id="rId1" Type="http://schemas.openxmlformats.org/officeDocument/2006/relationships/hyperlink" Target="http://www.aovr.veneto.it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E32463-1908-460C-83EC-23180F45A1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515</TotalTime>
  <Pages>2</Pages>
  <Words>557</Words>
  <Characters>3180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Prot</vt:lpstr>
    </vt:vector>
  </TitlesOfParts>
  <Company/>
  <LinksUpToDate>false</LinksUpToDate>
  <CharactersWithSpaces>3730</CharactersWithSpaces>
  <SharedDoc>false</SharedDoc>
  <HLinks>
    <vt:vector size="12" baseType="variant">
      <vt:variant>
        <vt:i4>7602245</vt:i4>
      </vt:variant>
      <vt:variant>
        <vt:i4>3</vt:i4>
      </vt:variant>
      <vt:variant>
        <vt:i4>0</vt:i4>
      </vt:variant>
      <vt:variant>
        <vt:i4>5</vt:i4>
      </vt:variant>
      <vt:variant>
        <vt:lpwstr>mailto:ufficio.stampa@aovr.veneto.it</vt:lpwstr>
      </vt:variant>
      <vt:variant>
        <vt:lpwstr/>
      </vt:variant>
      <vt:variant>
        <vt:i4>3866747</vt:i4>
      </vt:variant>
      <vt:variant>
        <vt:i4>0</vt:i4>
      </vt:variant>
      <vt:variant>
        <vt:i4>0</vt:i4>
      </vt:variant>
      <vt:variant>
        <vt:i4>5</vt:i4>
      </vt:variant>
      <vt:variant>
        <vt:lpwstr>http://www.aovr.veneto.it/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dc:subject/>
  <dc:creator>Azienda Ospedaliera Universitaria Integrata - Verona</dc:creator>
  <cp:keywords/>
  <cp:lastModifiedBy>SIMONE BALDO</cp:lastModifiedBy>
  <cp:revision>21</cp:revision>
  <cp:lastPrinted>2026-02-10T17:14:00Z</cp:lastPrinted>
  <dcterms:created xsi:type="dcterms:W3CDTF">2026-04-20T10:47:00Z</dcterms:created>
  <dcterms:modified xsi:type="dcterms:W3CDTF">2026-06-12T11:37:00Z</dcterms:modified>
</cp:coreProperties>
</file>