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533E0C" w:rsidRDefault="0034473F">
      <w:pPr>
        <w:pBdr>
          <w:top w:val="nil"/>
          <w:left w:val="nil"/>
          <w:bottom w:val="nil"/>
          <w:right w:val="nil"/>
          <w:between w:val="nil"/>
        </w:pBdr>
        <w:spacing w:before="240" w:after="60"/>
        <w:jc w:val="center"/>
        <w:rPr>
          <w:rFonts w:ascii="Century Gothic" w:eastAsia="Century Gothic" w:hAnsi="Century Gothic" w:cs="Century Gothic"/>
          <w:b/>
          <w:bCs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color w:val="000000"/>
          <w:sz w:val="24"/>
          <w:szCs w:val="24"/>
        </w:rPr>
        <w:t>Forum nazionale pediatria</w:t>
      </w:r>
      <w:r w:rsidR="004D7A41">
        <w:rPr>
          <w:rFonts w:ascii="Century Gothic" w:eastAsia="Century Gothic" w:hAnsi="Century Gothic" w:cs="Century Gothic"/>
          <w:b/>
          <w:bCs/>
          <w:color w:val="000000"/>
          <w:sz w:val="24"/>
          <w:szCs w:val="24"/>
        </w:rPr>
        <w:t xml:space="preserve">, due giorni di confronti con specialisti da tutta Italia </w:t>
      </w:r>
    </w:p>
    <w:p w:rsidR="00533E0C" w:rsidRDefault="00533E0C">
      <w:pPr>
        <w:rPr>
          <w:rFonts w:ascii="Century Gothic" w:eastAsia="Century Gothic" w:hAnsi="Century Gothic" w:cs="Century Gothic"/>
          <w:sz w:val="24"/>
          <w:szCs w:val="24"/>
        </w:rPr>
      </w:pPr>
    </w:p>
    <w:p w:rsidR="00533E0C" w:rsidRDefault="004D7A41">
      <w:pPr>
        <w:jc w:val="center"/>
        <w:rPr>
          <w:rFonts w:ascii="Century Gothic" w:eastAsia="Century Gothic" w:hAnsi="Century Gothic" w:cs="Century Gothic"/>
          <w:b/>
          <w:bCs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>A Verona una rete di professionisti per affrontare le principali sfide cliniche</w:t>
      </w:r>
    </w:p>
    <w:p w:rsidR="00533E0C" w:rsidRDefault="00533E0C">
      <w:pPr>
        <w:rPr>
          <w:rFonts w:ascii="Century Gothic" w:eastAsia="Century Gothic" w:hAnsi="Century Gothic" w:cs="Century Gothic"/>
          <w:sz w:val="24"/>
          <w:szCs w:val="24"/>
        </w:rPr>
      </w:pPr>
    </w:p>
    <w:p w:rsidR="00533E0C" w:rsidRDefault="007040CF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Verona, </w:t>
      </w:r>
      <w:r w:rsidR="00393CEE">
        <w:rPr>
          <w:rFonts w:ascii="Century Gothic" w:eastAsia="Century Gothic" w:hAnsi="Century Gothic" w:cs="Century Gothic"/>
          <w:sz w:val="24"/>
          <w:szCs w:val="24"/>
        </w:rPr>
        <w:t>27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marzo 2026</w:t>
      </w:r>
    </w:p>
    <w:p w:rsidR="00533E0C" w:rsidRDefault="00533E0C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533E0C" w:rsidRDefault="00393CEE" w:rsidP="00393CEE">
      <w:pPr>
        <w:spacing w:after="160" w:line="25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Per due giorni i pediatri di tutta Italia si sono riuniti a Verona per</w:t>
      </w:r>
      <w:r w:rsidR="007040CF">
        <w:rPr>
          <w:rFonts w:ascii="Century Gothic" w:eastAsia="Century Gothic" w:hAnsi="Century Gothic" w:cs="Century Gothic"/>
          <w:sz w:val="24"/>
          <w:szCs w:val="24"/>
        </w:rPr>
        <w:t xml:space="preserve"> la quarta edizione del Forum Nazionale di Pediatria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TIPs</w:t>
      </w:r>
      <w:proofErr w:type="spellEnd"/>
      <w:r w:rsidR="007040CF">
        <w:rPr>
          <w:rFonts w:ascii="Century Gothic" w:eastAsia="Century Gothic" w:hAnsi="Century Gothic" w:cs="Century Gothic"/>
          <w:sz w:val="24"/>
          <w:szCs w:val="24"/>
        </w:rPr>
        <w:t xml:space="preserve">. </w:t>
      </w:r>
      <w:r>
        <w:rPr>
          <w:rFonts w:ascii="Century Gothic" w:eastAsia="Century Gothic" w:hAnsi="Century Gothic" w:cs="Century Gothic"/>
          <w:sz w:val="24"/>
          <w:szCs w:val="24"/>
        </w:rPr>
        <w:t>Organizzato da</w:t>
      </w:r>
      <w:r w:rsidRPr="00393CEE">
        <w:rPr>
          <w:rFonts w:ascii="Century Gothic" w:eastAsia="Century Gothic" w:hAnsi="Century Gothic" w:cs="Century Gothic"/>
          <w:sz w:val="24"/>
          <w:szCs w:val="24"/>
        </w:rPr>
        <w:t xml:space="preserve">l 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 w:rsidRPr="00393CEE">
        <w:rPr>
          <w:rFonts w:ascii="Century Gothic" w:eastAsia="Century Gothic" w:hAnsi="Century Gothic" w:cs="Century Gothic"/>
          <w:sz w:val="24"/>
          <w:szCs w:val="24"/>
        </w:rPr>
        <w:t xml:space="preserve">rof Giorgio Piacentini, direttore della </w:t>
      </w:r>
      <w:proofErr w:type="spellStart"/>
      <w:r w:rsidRPr="00393CEE">
        <w:rPr>
          <w:rFonts w:ascii="Century Gothic" w:eastAsia="Century Gothic" w:hAnsi="Century Gothic" w:cs="Century Gothic"/>
          <w:sz w:val="24"/>
          <w:szCs w:val="24"/>
        </w:rPr>
        <w:t>Uoc</w:t>
      </w:r>
      <w:proofErr w:type="spellEnd"/>
      <w:r w:rsidRPr="00393CEE">
        <w:rPr>
          <w:rFonts w:ascii="Century Gothic" w:eastAsia="Century Gothic" w:hAnsi="Century Gothic" w:cs="Century Gothic"/>
          <w:sz w:val="24"/>
          <w:szCs w:val="24"/>
        </w:rPr>
        <w:t xml:space="preserve"> Pediatria C</w:t>
      </w:r>
      <w:r>
        <w:rPr>
          <w:rFonts w:ascii="Century Gothic" w:eastAsia="Century Gothic" w:hAnsi="Century Gothic" w:cs="Century Gothic"/>
          <w:sz w:val="24"/>
          <w:szCs w:val="24"/>
        </w:rPr>
        <w:t>, con</w:t>
      </w:r>
      <w:r w:rsidRPr="00393CEE">
        <w:rPr>
          <w:rFonts w:ascii="Century Gothic" w:eastAsia="Century Gothic" w:hAnsi="Century Gothic" w:cs="Century Gothic"/>
          <w:sz w:val="24"/>
          <w:szCs w:val="24"/>
        </w:rPr>
        <w:t xml:space="preserve"> il titolo “Traiettorie Interattive Pediatriche Specialistiche - </w:t>
      </w:r>
      <w:proofErr w:type="spellStart"/>
      <w:r w:rsidRPr="00393CEE">
        <w:rPr>
          <w:rFonts w:ascii="Century Gothic" w:eastAsia="Century Gothic" w:hAnsi="Century Gothic" w:cs="Century Gothic"/>
          <w:sz w:val="24"/>
          <w:szCs w:val="24"/>
        </w:rPr>
        <w:t>TIPs</w:t>
      </w:r>
      <w:proofErr w:type="spellEnd"/>
      <w:r w:rsidRPr="00393CEE">
        <w:rPr>
          <w:rFonts w:ascii="Century Gothic" w:eastAsia="Century Gothic" w:hAnsi="Century Gothic" w:cs="Century Gothic"/>
          <w:sz w:val="24"/>
          <w:szCs w:val="24"/>
        </w:rPr>
        <w:t>”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, il convegno ha </w:t>
      </w:r>
      <w:r w:rsidR="007040CF">
        <w:rPr>
          <w:rFonts w:ascii="Century Gothic" w:eastAsia="Century Gothic" w:hAnsi="Century Gothic" w:cs="Century Gothic"/>
          <w:sz w:val="24"/>
          <w:szCs w:val="24"/>
        </w:rPr>
        <w:t xml:space="preserve">approfondito i temi più importanti della pediatria contemporanea. </w:t>
      </w:r>
    </w:p>
    <w:p w:rsidR="0034473F" w:rsidRPr="0034473F" w:rsidRDefault="0034473F" w:rsidP="00C6432A">
      <w:pPr>
        <w:spacing w:line="276" w:lineRule="auto"/>
        <w:jc w:val="both"/>
        <w:rPr>
          <w:rFonts w:ascii="Century Gothic" w:eastAsia="Century Gothic" w:hAnsi="Century Gothic" w:cs="Century Gothic"/>
          <w:bCs/>
          <w:sz w:val="24"/>
          <w:szCs w:val="24"/>
        </w:rPr>
      </w:pP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Attraverso talk show e 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>sessioni interattive sono state affrontate varie patologie attraverso le</w:t>
      </w:r>
      <w:bookmarkStart w:id="0" w:name="_GoBack"/>
      <w:bookmarkEnd w:id="0"/>
      <w:r w:rsidR="002A552A">
        <w:rPr>
          <w:rFonts w:ascii="Century Gothic" w:eastAsia="Century Gothic" w:hAnsi="Century Gothic" w:cs="Century Gothic"/>
          <w:bCs/>
          <w:sz w:val="24"/>
          <w:szCs w:val="24"/>
        </w:rPr>
        <w:t xml:space="preserve"> eccellenze della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 xml:space="preserve"> pratica clinica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proofErr w:type="spellStart"/>
      <w:r w:rsidR="002A552A">
        <w:rPr>
          <w:rFonts w:ascii="Century Gothic" w:eastAsia="Century Gothic" w:hAnsi="Century Gothic" w:cs="Century Gothic"/>
          <w:bCs/>
          <w:sz w:val="24"/>
          <w:szCs w:val="24"/>
        </w:rPr>
        <w:t>Aoui</w:t>
      </w:r>
      <w:proofErr w:type="spellEnd"/>
      <w:r w:rsidR="002A552A">
        <w:rPr>
          <w:rFonts w:ascii="Century Gothic" w:eastAsia="Century Gothic" w:hAnsi="Century Gothic" w:cs="Century Gothic"/>
          <w:bCs/>
          <w:sz w:val="24"/>
          <w:szCs w:val="24"/>
        </w:rPr>
        <w:t>. In apertura si è discusso del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le fragilità dell’adolescenza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>: un’età pericolosa per chi non è più bambino ma non ancora adulto, fra trasgressioni e disturbi alimentari. Altri focus specifici sono stati condotti su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 xml:space="preserve">lla gestione delle malattie rare e </w:t>
      </w:r>
      <w:r w:rsidR="00FE3C0E">
        <w:rPr>
          <w:rFonts w:ascii="Century Gothic" w:eastAsia="Century Gothic" w:hAnsi="Century Gothic" w:cs="Century Gothic"/>
          <w:bCs/>
          <w:sz w:val="24"/>
          <w:szCs w:val="24"/>
        </w:rPr>
        <w:t>su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 xml:space="preserve">gli aspetti più attuali delle 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patologie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 xml:space="preserve"> respiratorie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, infettive e funzionali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>. L</w:t>
      </w:r>
      <w:r w:rsidR="002A552A" w:rsidRPr="002A552A">
        <w:rPr>
          <w:rFonts w:ascii="Century Gothic" w:eastAsia="Century Gothic" w:hAnsi="Century Gothic" w:cs="Century Gothic"/>
          <w:bCs/>
          <w:sz w:val="24"/>
          <w:szCs w:val="24"/>
        </w:rPr>
        <w:t>e principali sfide cliniche</w:t>
      </w:r>
      <w:r w:rsidR="002A552A">
        <w:rPr>
          <w:rFonts w:ascii="Century Gothic" w:eastAsia="Century Gothic" w:hAnsi="Century Gothic" w:cs="Century Gothic"/>
          <w:bCs/>
          <w:sz w:val="24"/>
          <w:szCs w:val="24"/>
        </w:rPr>
        <w:t xml:space="preserve"> toccano </w:t>
      </w:r>
      <w:proofErr w:type="spellStart"/>
      <w:r w:rsidR="002A552A">
        <w:rPr>
          <w:rFonts w:ascii="Century Gothic" w:eastAsia="Century Gothic" w:hAnsi="Century Gothic" w:cs="Century Gothic"/>
          <w:bCs/>
          <w:sz w:val="24"/>
          <w:szCs w:val="24"/>
        </w:rPr>
        <w:t>topics</w:t>
      </w:r>
      <w:proofErr w:type="spellEnd"/>
      <w:r w:rsidR="002A552A">
        <w:rPr>
          <w:rFonts w:ascii="Century Gothic" w:eastAsia="Century Gothic" w:hAnsi="Century Gothic" w:cs="Century Gothic"/>
          <w:bCs/>
          <w:sz w:val="24"/>
          <w:szCs w:val="24"/>
        </w:rPr>
        <w:t xml:space="preserve"> come la t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osse</w:t>
      </w:r>
      <w:r w:rsidR="00FE3C0E">
        <w:rPr>
          <w:rFonts w:ascii="Century Gothic" w:eastAsia="Century Gothic" w:hAnsi="Century Gothic" w:cs="Century Gothic"/>
          <w:bCs/>
          <w:sz w:val="24"/>
          <w:szCs w:val="24"/>
        </w:rPr>
        <w:t>,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 xml:space="preserve"> tra diagnosi differenziale e terapia</w:t>
      </w:r>
      <w:r w:rsidR="00FE3C0E">
        <w:rPr>
          <w:rFonts w:ascii="Century Gothic" w:eastAsia="Century Gothic" w:hAnsi="Century Gothic" w:cs="Century Gothic"/>
          <w:bCs/>
          <w:sz w:val="24"/>
          <w:szCs w:val="24"/>
        </w:rPr>
        <w:t>, le l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aringiti</w:t>
      </w:r>
      <w:r w:rsidR="00FE3C0E">
        <w:rPr>
          <w:rFonts w:ascii="Century Gothic" w:eastAsia="Century Gothic" w:hAnsi="Century Gothic" w:cs="Century Gothic"/>
          <w:bCs/>
          <w:sz w:val="24"/>
          <w:szCs w:val="24"/>
        </w:rPr>
        <w:t xml:space="preserve">, 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 xml:space="preserve">rigurgito </w:t>
      </w:r>
      <w:r w:rsidR="00FE3C0E">
        <w:rPr>
          <w:rFonts w:ascii="Century Gothic" w:eastAsia="Century Gothic" w:hAnsi="Century Gothic" w:cs="Century Gothic"/>
          <w:bCs/>
          <w:sz w:val="24"/>
          <w:szCs w:val="24"/>
        </w:rPr>
        <w:t xml:space="preserve">e 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reflusso gastroesofageo</w:t>
      </w:r>
      <w:r w:rsidR="00C6432A">
        <w:rPr>
          <w:rFonts w:ascii="Century Gothic" w:eastAsia="Century Gothic" w:hAnsi="Century Gothic" w:cs="Century Gothic"/>
          <w:bCs/>
          <w:sz w:val="24"/>
          <w:szCs w:val="24"/>
        </w:rPr>
        <w:t>, diverse forme de</w:t>
      </w:r>
      <w:r w:rsidRPr="0034473F">
        <w:rPr>
          <w:rFonts w:ascii="Century Gothic" w:eastAsia="Century Gothic" w:hAnsi="Century Gothic" w:cs="Century Gothic"/>
          <w:bCs/>
          <w:sz w:val="24"/>
          <w:szCs w:val="24"/>
        </w:rPr>
        <w:t>ll’asma</w:t>
      </w:r>
      <w:r w:rsidR="00C6432A">
        <w:rPr>
          <w:rFonts w:ascii="Century Gothic" w:eastAsia="Century Gothic" w:hAnsi="Century Gothic" w:cs="Century Gothic"/>
          <w:bCs/>
          <w:sz w:val="24"/>
          <w:szCs w:val="24"/>
        </w:rPr>
        <w:t>.</w:t>
      </w:r>
    </w:p>
    <w:p w:rsidR="0034473F" w:rsidRDefault="0034473F">
      <w:pPr>
        <w:spacing w:line="276" w:lineRule="auto"/>
        <w:rPr>
          <w:rFonts w:ascii="Century Gothic" w:eastAsia="Century Gothic" w:hAnsi="Century Gothic" w:cs="Century Gothic"/>
          <w:b/>
          <w:bCs/>
          <w:sz w:val="24"/>
          <w:szCs w:val="24"/>
        </w:rPr>
      </w:pPr>
    </w:p>
    <w:p w:rsidR="00C6432A" w:rsidRDefault="00C6432A" w:rsidP="00C6432A">
      <w:pPr>
        <w:spacing w:line="276" w:lineRule="auto"/>
        <w:jc w:val="both"/>
        <w:rPr>
          <w:rFonts w:ascii="Century Gothic" w:eastAsia="Century Gothic" w:hAnsi="Century Gothic" w:cs="Century Gothic"/>
          <w:bCs/>
          <w:sz w:val="24"/>
          <w:szCs w:val="24"/>
        </w:rPr>
      </w:pPr>
      <w:r w:rsidRPr="00C6432A">
        <w:rPr>
          <w:rFonts w:ascii="Century Gothic" w:eastAsia="Century Gothic" w:hAnsi="Century Gothic" w:cs="Century Gothic"/>
          <w:b/>
          <w:bCs/>
          <w:sz w:val="24"/>
          <w:szCs w:val="24"/>
        </w:rPr>
        <w:t>Diabete e celiachia</w:t>
      </w:r>
      <w:r>
        <w:rPr>
          <w:rFonts w:ascii="Century Gothic" w:eastAsia="Century Gothic" w:hAnsi="Century Gothic" w:cs="Century Gothic"/>
          <w:bCs/>
          <w:sz w:val="24"/>
          <w:szCs w:val="24"/>
        </w:rPr>
        <w:t>. Rappresenta la novità in applicazione del</w:t>
      </w:r>
      <w:r w:rsidRPr="00C6432A">
        <w:rPr>
          <w:rFonts w:ascii="Century Gothic" w:eastAsia="Century Gothic" w:hAnsi="Century Gothic" w:cs="Century Gothic"/>
          <w:bCs/>
          <w:sz w:val="24"/>
          <w:szCs w:val="24"/>
        </w:rPr>
        <w:t xml:space="preserve">la legge </w:t>
      </w:r>
      <w:r>
        <w:rPr>
          <w:rFonts w:ascii="Century Gothic" w:eastAsia="Century Gothic" w:hAnsi="Century Gothic" w:cs="Century Gothic"/>
          <w:bCs/>
          <w:sz w:val="24"/>
          <w:szCs w:val="24"/>
        </w:rPr>
        <w:t>nazionale</w:t>
      </w:r>
      <w:r w:rsidRPr="00C6432A"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bCs/>
          <w:sz w:val="24"/>
          <w:szCs w:val="24"/>
        </w:rPr>
        <w:t>che istituisce l</w:t>
      </w:r>
      <w:r w:rsidRPr="00C6432A">
        <w:rPr>
          <w:rFonts w:ascii="Century Gothic" w:eastAsia="Century Gothic" w:hAnsi="Century Gothic" w:cs="Century Gothic"/>
          <w:bCs/>
          <w:sz w:val="24"/>
          <w:szCs w:val="24"/>
        </w:rPr>
        <w:t>o screening nella popolazione pediatrica per individuare le persone a rischio di sviluppare diabete di tipo 1 e celiachia. Questo consente di predire la malattia, identificare i casi clinicamente asintomatici, effettuare diagnosi precoci con un miglioramento della prognosi.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r w:rsidRPr="00C6432A">
        <w:rPr>
          <w:rFonts w:ascii="Century Gothic" w:eastAsia="Century Gothic" w:hAnsi="Century Gothic" w:cs="Century Gothic"/>
          <w:bCs/>
          <w:sz w:val="24"/>
          <w:szCs w:val="24"/>
        </w:rPr>
        <w:t>In Italia, secondo le stime del Ministero della Salute, sono 300mila le persone affette da diabete tipo 1, con una costante tendenza all’incremento dei casi nel corso degli ultimi decenni e 250 mila le persone con diagnosi di celiachia, con una elevata proporzione di casi non diagnosticati perché clinicamente silenti.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</w:p>
    <w:p w:rsidR="00C6432A" w:rsidRPr="00C6432A" w:rsidRDefault="004D7A41" w:rsidP="00C6432A">
      <w:pPr>
        <w:spacing w:line="276" w:lineRule="auto"/>
        <w:jc w:val="both"/>
        <w:rPr>
          <w:rFonts w:ascii="Century Gothic" w:eastAsia="Century Gothic" w:hAnsi="Century Gothic" w:cs="Century Gothic"/>
          <w:bCs/>
          <w:sz w:val="24"/>
          <w:szCs w:val="24"/>
        </w:rPr>
      </w:pP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Lo screening viene eseguito in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Aoui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e l’intervento </w:t>
      </w:r>
      <w:r w:rsidRPr="004D7A41">
        <w:rPr>
          <w:rFonts w:ascii="Century Gothic" w:eastAsia="Century Gothic" w:hAnsi="Century Gothic" w:cs="Century Gothic"/>
          <w:bCs/>
          <w:sz w:val="24"/>
          <w:szCs w:val="24"/>
        </w:rPr>
        <w:t>“Diabete e celiachia: il potenziale impatto terapeutico con l’applicazione della legge sugli screening”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è stato condotto dai pediatri </w:t>
      </w:r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>M</w:t>
      </w:r>
      <w:r>
        <w:rPr>
          <w:rFonts w:ascii="Century Gothic" w:eastAsia="Century Gothic" w:hAnsi="Century Gothic" w:cs="Century Gothic"/>
          <w:bCs/>
          <w:sz w:val="24"/>
          <w:szCs w:val="24"/>
        </w:rPr>
        <w:t>arco</w:t>
      </w:r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proofErr w:type="spellStart"/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>Deganello</w:t>
      </w:r>
      <w:proofErr w:type="spellEnd"/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 xml:space="preserve"> Saccomani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e Claudia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Banzato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Uoc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Pediatria C </w:t>
      </w:r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>e C</w:t>
      </w:r>
      <w:r>
        <w:rPr>
          <w:rFonts w:ascii="Century Gothic" w:eastAsia="Century Gothic" w:hAnsi="Century Gothic" w:cs="Century Gothic"/>
          <w:bCs/>
          <w:sz w:val="24"/>
          <w:szCs w:val="24"/>
        </w:rPr>
        <w:t>laudia</w:t>
      </w:r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proofErr w:type="spellStart"/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>Piona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Uoc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Pediatria B</w:t>
      </w:r>
      <w:r w:rsidR="00C6432A" w:rsidRPr="00C6432A">
        <w:rPr>
          <w:rFonts w:ascii="Century Gothic" w:eastAsia="Century Gothic" w:hAnsi="Century Gothic" w:cs="Century Gothic"/>
          <w:bCs/>
          <w:sz w:val="24"/>
          <w:szCs w:val="24"/>
        </w:rPr>
        <w:t>.</w:t>
      </w:r>
    </w:p>
    <w:p w:rsidR="00C6432A" w:rsidRPr="00C6432A" w:rsidRDefault="00C6432A" w:rsidP="00C6432A">
      <w:pPr>
        <w:spacing w:line="276" w:lineRule="auto"/>
        <w:jc w:val="both"/>
        <w:rPr>
          <w:rFonts w:ascii="Century Gothic" w:eastAsia="Century Gothic" w:hAnsi="Century Gothic" w:cs="Century Gothic"/>
          <w:bCs/>
          <w:sz w:val="24"/>
          <w:szCs w:val="24"/>
        </w:rPr>
      </w:pPr>
    </w:p>
    <w:p w:rsidR="0034473F" w:rsidRDefault="0034473F">
      <w:pPr>
        <w:spacing w:line="276" w:lineRule="auto"/>
        <w:rPr>
          <w:rFonts w:ascii="Century Gothic" w:eastAsia="Century Gothic" w:hAnsi="Century Gothic" w:cs="Century Gothic"/>
          <w:b/>
          <w:bCs/>
          <w:sz w:val="24"/>
          <w:szCs w:val="24"/>
        </w:rPr>
      </w:pPr>
    </w:p>
    <w:p w:rsidR="0034473F" w:rsidRDefault="0034473F">
      <w:pPr>
        <w:spacing w:line="276" w:lineRule="auto"/>
        <w:rPr>
          <w:rFonts w:ascii="Century Gothic" w:eastAsia="Century Gothic" w:hAnsi="Century Gothic" w:cs="Century Gothic"/>
          <w:b/>
          <w:bCs/>
          <w:sz w:val="24"/>
          <w:szCs w:val="24"/>
        </w:rPr>
      </w:pPr>
    </w:p>
    <w:p w:rsidR="00533E0C" w:rsidRPr="001424B9" w:rsidRDefault="007040CF">
      <w:pPr>
        <w:spacing w:line="276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>Forum Nazionale di Pediatria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. </w:t>
      </w:r>
      <w:r w:rsidR="004D7A41">
        <w:rPr>
          <w:rFonts w:ascii="Century Gothic" w:eastAsia="Century Gothic" w:hAnsi="Century Gothic" w:cs="Century Gothic"/>
          <w:sz w:val="24"/>
          <w:szCs w:val="24"/>
        </w:rPr>
        <w:t>Il progetto del Forum, che ha come coordinatore scientifico il prof Piacentini e si è tenuto in Camera di Commercio, h</w:t>
      </w:r>
      <w:r>
        <w:rPr>
          <w:rFonts w:ascii="Century Gothic" w:eastAsia="Century Gothic" w:hAnsi="Century Gothic" w:cs="Century Gothic"/>
          <w:sz w:val="24"/>
          <w:szCs w:val="24"/>
        </w:rPr>
        <w:t>a favori</w:t>
      </w:r>
      <w:r w:rsidR="004D7A41">
        <w:rPr>
          <w:rFonts w:ascii="Century Gothic" w:eastAsia="Century Gothic" w:hAnsi="Century Gothic" w:cs="Century Gothic"/>
          <w:sz w:val="24"/>
          <w:szCs w:val="24"/>
        </w:rPr>
        <w:t>to negli anni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il dialogo continuo tra pediatria ospedaliera e territoriale, per affrontare insieme le nuove sfide cliniche.</w:t>
      </w:r>
      <w:r w:rsidR="004D7A41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4D7A41" w:rsidRPr="004D7A41">
        <w:rPr>
          <w:rFonts w:ascii="Century Gothic" w:eastAsia="Century Gothic" w:hAnsi="Century Gothic" w:cs="Century Gothic"/>
          <w:sz w:val="24"/>
          <w:szCs w:val="24"/>
        </w:rPr>
        <w:t xml:space="preserve">L’intento è di consolidare una rete di professionisti, capace di generare nuove opportunità formative e collaborative, creando una visione condivisa delle nuove priorità in pediatria. </w:t>
      </w:r>
      <w:r w:rsidR="004D7A41">
        <w:rPr>
          <w:rFonts w:ascii="Century Gothic" w:eastAsia="Century Gothic" w:hAnsi="Century Gothic" w:cs="Century Gothic"/>
          <w:sz w:val="24"/>
          <w:szCs w:val="24"/>
        </w:rPr>
        <w:t>Tutto questo per f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ornire strumenti concreti </w:t>
      </w:r>
      <w:r w:rsidR="004D7A41">
        <w:rPr>
          <w:rFonts w:ascii="Century Gothic" w:eastAsia="Century Gothic" w:hAnsi="Century Gothic" w:cs="Century Gothic"/>
          <w:sz w:val="24"/>
          <w:szCs w:val="24"/>
        </w:rPr>
        <w:t>di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gestione integrata delle condizioni pediatriche di maggiore impatto.</w:t>
      </w:r>
    </w:p>
    <w:sectPr w:rsidR="00533E0C" w:rsidRPr="001424B9">
      <w:headerReference w:type="default" r:id="rId7"/>
      <w:footerReference w:type="even" r:id="rId8"/>
      <w:footerReference w:type="default" r:id="rId9"/>
      <w:pgSz w:w="11906" w:h="16838"/>
      <w:pgMar w:top="1418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11D" w:rsidRDefault="0019611D">
      <w:r>
        <w:separator/>
      </w:r>
    </w:p>
  </w:endnote>
  <w:endnote w:type="continuationSeparator" w:id="0">
    <w:p w:rsidR="0019611D" w:rsidRDefault="00196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" w:fontKey="{EFA36E6E-4FDF-4878-A283-D6E73E56AC8E}"/>
    <w:embedBold r:id="rId2" w:fontKey="{224124DC-511A-4FB1-9EE9-3EC907E0A42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D9FEC627-3DAE-44EB-A8BE-4955AF896E3A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4" w:fontKey="{4A20D726-D1FF-4D1C-A550-4F9910FDF711}"/>
    <w:embedBold r:id="rId5" w:fontKey="{8992C198-C300-438F-81BF-F0316EADBE8B}"/>
  </w:font>
  <w:font w:name="Aptos Display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Aptos">
    <w:altName w:val="Times New Roman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3E0C" w:rsidRDefault="007040C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Ospedale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3E0C" w:rsidRDefault="007040CF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</w:rPr>
      <w:t>AOUI Verona Notizie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Registrazione al Tribunale di Verona n° 2222 del 23/10/2025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Sede Legale: Piazzale A. Stefani, 1 – 37126 Verona</w:t>
    </w:r>
  </w:p>
  <w:p w:rsidR="00533E0C" w:rsidRDefault="007040CF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7"/>
        <w:szCs w:val="17"/>
      </w:rPr>
      <w:t>Tel. 045/812 1293 - 045/812 2206 - C.F. e P.IVA 03901420236</w:t>
    </w:r>
  </w:p>
  <w:p w:rsidR="00533E0C" w:rsidRDefault="0019611D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  <w:sz w:val="16"/>
        <w:szCs w:val="16"/>
      </w:rPr>
    </w:pPr>
    <w:hyperlink r:id="rId1">
      <w:r w:rsidR="007040CF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www.aovr.veneto.it</w:t>
      </w:r>
    </w:hyperlink>
    <w:r w:rsidR="007040CF">
      <w:rPr>
        <w:rFonts w:ascii="Century Gothic" w:eastAsia="Century Gothic" w:hAnsi="Century Gothic" w:cs="Century Gothic"/>
        <w:color w:val="000000"/>
        <w:sz w:val="17"/>
        <w:szCs w:val="17"/>
      </w:rPr>
      <w:t xml:space="preserve">  -  e-mail: </w:t>
    </w:r>
    <w:hyperlink r:id="rId2">
      <w:r w:rsidR="007040CF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ufficio.stampa@aovr.veneto.it</w:t>
      </w:r>
    </w:hyperlink>
  </w:p>
  <w:p w:rsidR="00533E0C" w:rsidRDefault="007040C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line="260" w:lineRule="auto"/>
      <w:jc w:val="center"/>
      <w:rPr>
        <w:color w:val="000000"/>
      </w:rPr>
    </w:pPr>
    <w:r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1424B9">
      <w:rPr>
        <w:noProof/>
        <w:color w:val="000000"/>
        <w:sz w:val="16"/>
        <w:szCs w:val="16"/>
      </w:rPr>
      <w:t>2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11D" w:rsidRDefault="0019611D">
      <w:r>
        <w:separator/>
      </w:r>
    </w:p>
  </w:footnote>
  <w:footnote w:type="continuationSeparator" w:id="0">
    <w:p w:rsidR="0019611D" w:rsidRDefault="001961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3E0C" w:rsidRDefault="007040C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/>
      <w:jc w:val="center"/>
      <w:rPr>
        <w:color w:val="000000"/>
      </w:rPr>
    </w:pPr>
    <w:r>
      <w:rPr>
        <w:color w:val="000000"/>
        <w:sz w:val="26"/>
        <w:szCs w:val="26"/>
      </w:rPr>
      <w:t>AZIENDA OSPEDALIERA UNIVERSITARIA INTEGRATA</w:t>
    </w:r>
    <w:r>
      <w:rPr>
        <w:noProof/>
        <w:lang w:val="it-IT"/>
      </w:rPr>
      <w:drawing>
        <wp:anchor distT="0" distB="0" distL="114935" distR="114935" simplePos="0" relativeHeight="251658240" behindDoc="0" locked="0" layoutInCell="1" hidden="0" allowOverlap="1">
          <wp:simplePos x="0" y="0"/>
          <wp:positionH relativeFrom="column">
            <wp:posOffset>5384800</wp:posOffset>
          </wp:positionH>
          <wp:positionV relativeFrom="paragraph">
            <wp:posOffset>-8254</wp:posOffset>
          </wp:positionV>
          <wp:extent cx="574675" cy="574675"/>
          <wp:effectExtent l="0" t="0" r="0" b="0"/>
          <wp:wrapNone/>
          <wp:docPr id="3" name="image1.png" descr="Logo Università degli Studi di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Università degli Studi di Verona"/>
                  <pic:cNvPicPr preferRelativeResize="0"/>
                </pic:nvPicPr>
                <pic:blipFill>
                  <a:blip r:embed="rId1"/>
                  <a:srcRect l="-11" t="-11" r="-11" b="-11"/>
                  <a:stretch>
                    <a:fillRect/>
                  </a:stretch>
                </pic:blipFill>
                <pic:spPr>
                  <a:xfrm>
                    <a:off x="0" y="0"/>
                    <a:ext cx="574675" cy="574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229870</wp:posOffset>
          </wp:positionH>
          <wp:positionV relativeFrom="paragraph">
            <wp:posOffset>-12515</wp:posOffset>
          </wp:positionV>
          <wp:extent cx="632507" cy="611282"/>
          <wp:effectExtent l="0" t="0" r="0" b="0"/>
          <wp:wrapNone/>
          <wp:docPr id="4" name="image2.png" descr="Logo Ospedale Santa Casa di Misericordia in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Ospedale Santa Casa di Misericordia in Verona"/>
                  <pic:cNvPicPr preferRelativeResize="0"/>
                </pic:nvPicPr>
                <pic:blipFill>
                  <a:blip r:embed="rId2"/>
                  <a:srcRect l="4259" t="-29" r="-26" b="7470"/>
                  <a:stretch>
                    <a:fillRect/>
                  </a:stretch>
                </pic:blipFill>
                <pic:spPr>
                  <a:xfrm>
                    <a:off x="0" y="0"/>
                    <a:ext cx="632507" cy="6112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533E0C" w:rsidRDefault="007040C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20" w:after="40"/>
      <w:jc w:val="center"/>
      <w:rPr>
        <w:color w:val="000000"/>
      </w:rPr>
    </w:pPr>
    <w:r>
      <w:rPr>
        <w:color w:val="000000"/>
        <w:sz w:val="26"/>
        <w:szCs w:val="26"/>
      </w:rPr>
      <w:t>VERONA</w:t>
    </w:r>
  </w:p>
  <w:p w:rsidR="00533E0C" w:rsidRDefault="007040C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after="40"/>
      <w:jc w:val="center"/>
      <w:rPr>
        <w:color w:val="000000"/>
      </w:rPr>
    </w:pPr>
    <w:r>
      <w:rPr>
        <w:color w:val="000000"/>
      </w:rPr>
      <w:t>(D. Lgs. n. 517/1999 - Art. 3 L.R. Veneto n. 18/2009)</w:t>
    </w:r>
  </w:p>
  <w:tbl>
    <w:tblPr>
      <w:tblStyle w:val="a"/>
      <w:tblW w:w="9778" w:type="dxa"/>
      <w:jc w:val="center"/>
      <w:tblInd w:w="0" w:type="dxa"/>
      <w:tblLayout w:type="fixed"/>
      <w:tblLook w:val="0000" w:firstRow="0" w:lastRow="0" w:firstColumn="0" w:lastColumn="0" w:noHBand="0" w:noVBand="0"/>
    </w:tblPr>
    <w:tblGrid>
      <w:gridCol w:w="9778"/>
    </w:tblGrid>
    <w:tr w:rsidR="00533E0C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:rsidR="00533E0C" w:rsidRDefault="007040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before="60" w:after="60"/>
            <w:jc w:val="center"/>
            <w:rPr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bCs/>
              <w:color w:val="000000"/>
            </w:rPr>
            <w:t>Ufficio Comunicazione Esterna e Stampa</w:t>
          </w:r>
        </w:p>
      </w:tc>
    </w:tr>
  </w:tbl>
  <w:p w:rsidR="00533E0C" w:rsidRDefault="00533E0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60" w:after="60"/>
      <w:rPr>
        <w:rFonts w:ascii="Century Gothic" w:eastAsia="Century Gothic" w:hAnsi="Century Gothic" w:cs="Century Gothic"/>
        <w:b/>
        <w:bCs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E0C"/>
    <w:rsid w:val="001424B9"/>
    <w:rsid w:val="0019611D"/>
    <w:rsid w:val="002A552A"/>
    <w:rsid w:val="0034473F"/>
    <w:rsid w:val="00393CEE"/>
    <w:rsid w:val="004D7A41"/>
    <w:rsid w:val="00533E0C"/>
    <w:rsid w:val="007040CF"/>
    <w:rsid w:val="00C6432A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12ACB"/>
  <w15:docId w15:val="{6E4C6784-53AA-4309-A486-DDF0C56D1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0">
    <w:name w:val="Titolo1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pPr>
      <w:suppressLineNumbers/>
    </w:pPr>
    <w:rPr>
      <w:rFonts w:cs="Arial"/>
    </w:rPr>
  </w:style>
  <w:style w:type="paragraph" w:customStyle="1" w:styleId="Intestazioneepidipagina">
    <w:name w:val="Intestazione e piè di pagina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pPr>
      <w:spacing w:after="120"/>
    </w:pPr>
    <w:rPr>
      <w:sz w:val="16"/>
      <w:szCs w:val="16"/>
    </w:rPr>
  </w:style>
  <w:style w:type="paragraph" w:styleId="NormaleWeb">
    <w:name w:val="Normal (Web)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customStyle="1" w:styleId="Contenutotabella">
    <w:name w:val="Contenuto tabella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uiPriority w:val="11"/>
    <w:qFormat/>
    <w:pPr>
      <w:spacing w:after="60"/>
      <w:jc w:val="center"/>
    </w:pPr>
    <w:rPr>
      <w:rFonts w:ascii="Calibri" w:eastAsia="Calibri" w:hAnsi="Calibri" w:cs="Calibri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R7dixwYrhLo+r2LrYoliQOVkmw==">CgMxLjA4AHIhMUdyWjFKYUU2OU1RcFNwaUNIV0JYeXpsWmJQcjBuR2NO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Azienda Ospedaliera Universitaria Integrata - Verona</dc:creator>
  <cp:lastModifiedBy>SIMONE BALDO</cp:lastModifiedBy>
  <cp:revision>3</cp:revision>
  <dcterms:created xsi:type="dcterms:W3CDTF">2026-03-11T14:44:00Z</dcterms:created>
  <dcterms:modified xsi:type="dcterms:W3CDTF">2026-03-27T14:18:00Z</dcterms:modified>
</cp:coreProperties>
</file>