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ackground w:color="FFFFFF">
    <mc:AlternateContent>
      <mc:Choice Requires="v"/>
      <mc:Fallback>
        <w:drawing>
          <wp:inline distT="0" distB="0" distL="0" distR="0" wp14:anchorId="7BB4487D" wp14:editId="4E4DEDE1">
            <wp:extent cx="635" cy="635"/>
            <wp:effectExtent l="0" t="0" r="0" b="0"/>
            <wp:docPr id="1" name="Rectangle 1">
              <a:extLst xmlns:a="http://purl.oclc.org/ooxml/drawingml/main">
                <a:ext uri="{A998136B-4AC2-44c3-8CCF-79AB77ABDD1D}">
                  <a15:backgroundPr xmlns:a15="http://schemas.microsoft.com/office/drawing/2012/main" bwMode="white" bwPure="auto" bwNormal="auto" targetScreenSize="1024x768"/>
                </a:ext>
              </a:extLst>
            </wp:docPr>
            <wp:cNvGraphicFramePr/>
            <a:graphic xmlns:a="http://purl.oclc.org/ooxml/drawingml/main">
              <a:graphicData uri="http://schemas.microsoft.com/office/word/2010/wordprocessingShape">
                <wp:wsp>
                  <wp:cNvSpPr/>
                  <wp:spPr bwMode="white">
                    <a:xfrm>
                      <a:off x="0" y="0"/>
                      <a:ext cx="635" cy="6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xtLst>
                      <a:ext uri="{91240B29-F687-4F45-9708-019B960494DF}">
                        <a14:hiddenLine xmlns:a14="http://schemas.microsoft.com/office/drawing/2010/main" w="0">
                          <a:solidFill>
                            <a:srgbClr val="000000"/>
                          </a:solidFill>
                          <a:miter lim="800%"/>
                          <a:headEnd/>
                          <a:tailEnd/>
                        </a14:hiddenLine>
                      </a:ext>
                    </a:extLst>
                  </wp:spPr>
                  <wp:bodyPr/>
                </wp:wsp>
              </a:graphicData>
            </a:graphic>
          </wp:inline>
        </w:drawing>
      </mc:Fallback>
    </mc:AlternateContent>
  </w:background>
  <w:body>
    <w:p w:rsidR="0076557E" w:rsidRDefault="00441F1E">
      <w:pPr>
        <w:spacing w:before="12pt" w:after="3pt"/>
        <w:jc w:val="center"/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</w:pPr>
      <w:r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  <w:t xml:space="preserve">“Non scuoterlo”, </w:t>
      </w:r>
      <w:r w:rsidR="002B3831"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  <w:t xml:space="preserve">come prevenire </w:t>
      </w:r>
      <w:r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  <w:t xml:space="preserve">la Sindrome del </w:t>
      </w:r>
      <w:r w:rsidR="00D37CBD"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  <w:t>b</w:t>
      </w:r>
      <w:r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  <w:t xml:space="preserve">ambino </w:t>
      </w:r>
      <w:r w:rsidR="00D37CBD"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  <w:t>s</w:t>
      </w:r>
      <w:r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  <w:t>cosso</w:t>
      </w:r>
    </w:p>
    <w:p w:rsidR="0076557E" w:rsidRDefault="0076557E"/>
    <w:p w:rsidR="0076557E" w:rsidRDefault="00441F1E">
      <w:pPr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  <w:r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  <w:t xml:space="preserve">La campagna 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>informativa</w:t>
      </w:r>
      <w:r w:rsidR="002B3831" w:rsidRPr="002B3831"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="002B3831" w:rsidRPr="002B3831">
        <w:rPr>
          <w:rFonts w:ascii="Century Gothic" w:eastAsia="Century Gothic" w:hAnsi="Century Gothic" w:cs="Century Gothic"/>
          <w:b/>
          <w:bCs/>
          <w:sz w:val="28"/>
          <w:szCs w:val="28"/>
        </w:rPr>
        <w:t>Aoui</w:t>
      </w:r>
      <w:proofErr w:type="spellEnd"/>
      <w:r w:rsidR="002B3831"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</w:t>
      </w:r>
      <w:r w:rsidR="002B3831">
        <w:rPr>
          <w:rFonts w:ascii="Century Gothic" w:eastAsia="Century Gothic" w:hAnsi="Century Gothic" w:cs="Century Gothic"/>
          <w:b/>
          <w:bCs/>
          <w:sz w:val="28"/>
          <w:szCs w:val="28"/>
        </w:rPr>
        <w:t>anche</w:t>
      </w:r>
      <w:proofErr w:type="gramEnd"/>
      <w:r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in piazza Vittorio Veneto</w:t>
      </w:r>
    </w:p>
    <w:p w:rsidR="0076557E" w:rsidRDefault="0076557E"/>
    <w:p w:rsidR="0076557E" w:rsidRDefault="0076557E"/>
    <w:p w:rsidR="0076557E" w:rsidRDefault="00441F1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Verona, 10 aprile 2026</w:t>
      </w:r>
    </w:p>
    <w:p w:rsidR="0076557E" w:rsidRDefault="0076557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76557E" w:rsidRDefault="00441F1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Non </w:t>
      </w:r>
      <w:r w:rsidR="006B0EC0">
        <w:rPr>
          <w:rFonts w:ascii="Century Gothic" w:eastAsia="Century Gothic" w:hAnsi="Century Gothic" w:cs="Century Gothic"/>
          <w:sz w:val="24"/>
          <w:szCs w:val="24"/>
        </w:rPr>
        <w:t>è propriamente una forma di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violenza, </w:t>
      </w:r>
      <w:r w:rsidR="001D27DD">
        <w:rPr>
          <w:rFonts w:ascii="Century Gothic" w:eastAsia="Century Gothic" w:hAnsi="Century Gothic" w:cs="Century Gothic"/>
          <w:sz w:val="24"/>
          <w:szCs w:val="24"/>
        </w:rPr>
        <w:t xml:space="preserve">ma </w:t>
      </w:r>
      <w:r w:rsidR="006B0EC0">
        <w:rPr>
          <w:rFonts w:ascii="Century Gothic" w:eastAsia="Century Gothic" w:hAnsi="Century Gothic" w:cs="Century Gothic"/>
          <w:sz w:val="24"/>
          <w:szCs w:val="24"/>
        </w:rPr>
        <w:t>è comunque</w:t>
      </w:r>
      <w:r w:rsidR="001D27DD">
        <w:rPr>
          <w:rFonts w:ascii="Century Gothic" w:eastAsia="Century Gothic" w:hAnsi="Century Gothic" w:cs="Century Gothic"/>
          <w:sz w:val="24"/>
          <w:szCs w:val="24"/>
        </w:rPr>
        <w:t xml:space="preserve"> un maltrattamento che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può avere gravi conseguenze sulla salute del neonato. </w:t>
      </w:r>
      <w:r w:rsidR="001D27DD">
        <w:rPr>
          <w:rFonts w:ascii="Century Gothic" w:eastAsia="Century Gothic" w:hAnsi="Century Gothic" w:cs="Century Gothic"/>
          <w:sz w:val="24"/>
          <w:szCs w:val="24"/>
        </w:rPr>
        <w:t xml:space="preserve">Si tratta della </w:t>
      </w:r>
      <w:r w:rsidR="001D27DD" w:rsidRPr="001D27DD">
        <w:rPr>
          <w:rFonts w:ascii="Century Gothic" w:eastAsia="Century Gothic" w:hAnsi="Century Gothic" w:cs="Century Gothic"/>
          <w:sz w:val="24"/>
          <w:szCs w:val="24"/>
        </w:rPr>
        <w:t>Sindrome del bambino scosso (SBS)</w:t>
      </w:r>
      <w:r w:rsidR="001D27DD">
        <w:rPr>
          <w:rFonts w:ascii="Century Gothic" w:eastAsia="Century Gothic" w:hAnsi="Century Gothic" w:cs="Century Gothic"/>
          <w:sz w:val="24"/>
          <w:szCs w:val="24"/>
        </w:rPr>
        <w:t xml:space="preserve">, che 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si verifica quando il bambino </w:t>
      </w:r>
      <w:r>
        <w:rPr>
          <w:rFonts w:ascii="Century Gothic" w:eastAsia="Century Gothic" w:hAnsi="Century Gothic" w:cs="Century Gothic"/>
          <w:sz w:val="24"/>
          <w:szCs w:val="24"/>
        </w:rPr>
        <w:t>viene agitato violentemente, con l’intenzione di calmare un pianto inconsolabile. Se un lattante viene scosso con forza, il cervello si muove liberamente all’interno del cranio con gravissime conseguenze neurologiche quali</w:t>
      </w:r>
      <w:r w:rsidR="001D27DD">
        <w:rPr>
          <w:rFonts w:ascii="Century Gothic" w:eastAsia="Century Gothic" w:hAnsi="Century Gothic" w:cs="Century Gothic"/>
          <w:sz w:val="24"/>
          <w:szCs w:val="24"/>
        </w:rPr>
        <w:t>: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emorragie cerebrali o retiniche e edema cerebrale, fino al coma e alla morte.  </w:t>
      </w:r>
    </w:p>
    <w:p w:rsidR="0076557E" w:rsidRDefault="0076557E">
      <w:pPr>
        <w:ind w:end="0.25pt"/>
        <w:jc w:val="both"/>
        <w:rPr>
          <w:rFonts w:ascii="Century Gothic" w:eastAsia="Century Gothic" w:hAnsi="Century Gothic" w:cs="Century Gothic"/>
          <w:b/>
          <w:bCs/>
          <w:sz w:val="24"/>
          <w:szCs w:val="24"/>
        </w:rPr>
      </w:pPr>
    </w:p>
    <w:p w:rsidR="0076557E" w:rsidRDefault="00441F1E">
      <w:pPr>
        <w:ind w:end="0.25pt"/>
        <w:jc w:val="both"/>
        <w:rPr>
          <w:rFonts w:ascii="Century Gothic" w:eastAsia="Century Gothic" w:hAnsi="Century Gothic" w:cs="Century Gothic"/>
          <w:bCs/>
          <w:sz w:val="24"/>
          <w:szCs w:val="24"/>
        </w:rPr>
      </w:pP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Anche quest’anno </w:t>
      </w:r>
      <w:proofErr w:type="spellStart"/>
      <w:r>
        <w:rPr>
          <w:rFonts w:ascii="Century Gothic" w:eastAsia="Century Gothic" w:hAnsi="Century Gothic" w:cs="Century Gothic"/>
          <w:bCs/>
          <w:sz w:val="24"/>
          <w:szCs w:val="24"/>
        </w:rPr>
        <w:t>Aoui</w:t>
      </w:r>
      <w:proofErr w:type="spellEnd"/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risponde alla necessità di sensibilizzazione sul tema, in occasione delle Giornate Nazionali </w:t>
      </w:r>
      <w:r w:rsidR="001D27DD">
        <w:rPr>
          <w:rFonts w:ascii="Century Gothic" w:eastAsia="Century Gothic" w:hAnsi="Century Gothic" w:cs="Century Gothic"/>
          <w:bCs/>
          <w:sz w:val="24"/>
          <w:szCs w:val="24"/>
        </w:rPr>
        <w:t xml:space="preserve">di prevenzione 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del </w:t>
      </w:r>
      <w:r w:rsidR="00D37CBD">
        <w:rPr>
          <w:rFonts w:ascii="Century Gothic" w:eastAsia="Century Gothic" w:hAnsi="Century Gothic" w:cs="Century Gothic"/>
          <w:bCs/>
          <w:sz w:val="24"/>
          <w:szCs w:val="24"/>
        </w:rPr>
        <w:t>b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ambino </w:t>
      </w:r>
      <w:r w:rsidR="00D37CBD">
        <w:rPr>
          <w:rFonts w:ascii="Century Gothic" w:eastAsia="Century Gothic" w:hAnsi="Century Gothic" w:cs="Century Gothic"/>
          <w:bCs/>
          <w:sz w:val="24"/>
          <w:szCs w:val="24"/>
        </w:rPr>
        <w:t>s</w:t>
      </w:r>
      <w:r>
        <w:rPr>
          <w:rFonts w:ascii="Century Gothic" w:eastAsia="Century Gothic" w:hAnsi="Century Gothic" w:cs="Century Gothic"/>
          <w:bCs/>
          <w:sz w:val="24"/>
          <w:szCs w:val="24"/>
        </w:rPr>
        <w:t>cosso</w:t>
      </w:r>
      <w:r w:rsidR="001D27DD">
        <w:rPr>
          <w:rFonts w:ascii="Century Gothic" w:eastAsia="Century Gothic" w:hAnsi="Century Gothic" w:cs="Century Gothic"/>
          <w:bCs/>
          <w:sz w:val="24"/>
          <w:szCs w:val="24"/>
        </w:rPr>
        <w:t>. Oggi, n</w:t>
      </w:r>
      <w:r>
        <w:rPr>
          <w:rFonts w:ascii="Century Gothic" w:eastAsia="Century Gothic" w:hAnsi="Century Gothic" w:cs="Century Gothic"/>
          <w:bCs/>
          <w:sz w:val="24"/>
          <w:szCs w:val="24"/>
        </w:rPr>
        <w:t>ella hall del padiglione 30 dell’Ospedale della Donna e del Bambino di Borgo Trento è stato allestito un info point dove l’</w:t>
      </w:r>
      <w:r w:rsidR="001D27DD">
        <w:rPr>
          <w:rFonts w:ascii="Century Gothic" w:eastAsia="Century Gothic" w:hAnsi="Century Gothic" w:cs="Century Gothic"/>
          <w:bCs/>
          <w:sz w:val="24"/>
          <w:szCs w:val="24"/>
        </w:rPr>
        <w:t>é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quipe del Pronto Soccorso Pediatrico ha </w:t>
      </w:r>
      <w:r w:rsidR="001D27DD">
        <w:rPr>
          <w:rFonts w:ascii="Century Gothic" w:eastAsia="Century Gothic" w:hAnsi="Century Gothic" w:cs="Century Gothic"/>
          <w:bCs/>
          <w:sz w:val="24"/>
          <w:szCs w:val="24"/>
        </w:rPr>
        <w:t>spiegato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agli utenti le informazioni necessarie per evitare l’insorgenza di casi più gravi.</w:t>
      </w:r>
      <w:r w:rsidR="001D27DD"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bCs/>
          <w:sz w:val="24"/>
          <w:szCs w:val="24"/>
        </w:rPr>
        <w:t>La novità 2026 è lo stand rivolto alla popolazione fuori dall’ospedale, attivo domani</w:t>
      </w:r>
      <w:r w:rsidR="001D27DD">
        <w:rPr>
          <w:rFonts w:ascii="Century Gothic" w:eastAsia="Century Gothic" w:hAnsi="Century Gothic" w:cs="Century Gothic"/>
          <w:bCs/>
          <w:sz w:val="24"/>
          <w:szCs w:val="24"/>
        </w:rPr>
        <w:t xml:space="preserve"> 11 aprile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in piazza Vittorio Veneto dalle 11 dalle 19. L’intera iniziativa è svolta in collaborazione con la fondazione internazionale Terre </w:t>
      </w:r>
      <w:proofErr w:type="spellStart"/>
      <w:r>
        <w:rPr>
          <w:rFonts w:ascii="Century Gothic" w:eastAsia="Century Gothic" w:hAnsi="Century Gothic" w:cs="Century Gothic"/>
          <w:bCs/>
          <w:sz w:val="24"/>
          <w:szCs w:val="24"/>
        </w:rPr>
        <w:t>des</w:t>
      </w:r>
      <w:proofErr w:type="spellEnd"/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Cs/>
          <w:sz w:val="24"/>
          <w:szCs w:val="24"/>
        </w:rPr>
        <w:t>Hommes</w:t>
      </w:r>
      <w:proofErr w:type="spellEnd"/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e </w:t>
      </w:r>
      <w:proofErr w:type="spellStart"/>
      <w:r>
        <w:rPr>
          <w:rFonts w:ascii="Century Gothic" w:eastAsia="Century Gothic" w:hAnsi="Century Gothic" w:cs="Century Gothic"/>
          <w:bCs/>
          <w:sz w:val="24"/>
          <w:szCs w:val="24"/>
        </w:rPr>
        <w:t>Simeup</w:t>
      </w:r>
      <w:proofErr w:type="spellEnd"/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(Società italiana di medicina di emergenza e urgenza pediatrica)</w:t>
      </w:r>
      <w:r w:rsidR="00F4033A">
        <w:rPr>
          <w:rFonts w:ascii="Century Gothic" w:eastAsia="Century Gothic" w:hAnsi="Century Gothic" w:cs="Century Gothic"/>
          <w:bCs/>
          <w:sz w:val="24"/>
          <w:szCs w:val="24"/>
        </w:rPr>
        <w:t>.</w:t>
      </w:r>
    </w:p>
    <w:p w:rsidR="0076557E" w:rsidRDefault="0076557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76557E" w:rsidRDefault="00441F1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L’incidenza. </w:t>
      </w:r>
      <w:r>
        <w:rPr>
          <w:rFonts w:ascii="Century Gothic" w:eastAsia="Century Gothic" w:hAnsi="Century Gothic" w:cs="Century Gothic"/>
          <w:sz w:val="24"/>
          <w:szCs w:val="24"/>
        </w:rPr>
        <w:t>La sindrome del bambino scosso è un quadro clinico caratterizzato da una serie di gravi lesioni che subisce un bambino piccolo, generalmente al di sotto dei 2 anni. L’incidenza a li</w:t>
      </w:r>
      <w:r w:rsidR="002105FD">
        <w:rPr>
          <w:rFonts w:ascii="Century Gothic" w:eastAsia="Century Gothic" w:hAnsi="Century Gothic" w:cs="Century Gothic"/>
          <w:sz w:val="24"/>
          <w:szCs w:val="24"/>
        </w:rPr>
        <w:t xml:space="preserve">vello globale è di 20-30 casi su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100.000. </w:t>
      </w:r>
      <w:r w:rsidR="00F4033A">
        <w:rPr>
          <w:rFonts w:ascii="Century Gothic" w:eastAsia="Century Gothic" w:hAnsi="Century Gothic" w:cs="Century Gothic"/>
          <w:sz w:val="24"/>
          <w:szCs w:val="24"/>
        </w:rPr>
        <w:t xml:space="preserve">Il dato è comunque sottostimato dal momento che </w:t>
      </w:r>
      <w:r>
        <w:rPr>
          <w:rFonts w:ascii="Century Gothic" w:eastAsia="Century Gothic" w:hAnsi="Century Gothic" w:cs="Century Gothic"/>
          <w:sz w:val="24"/>
          <w:szCs w:val="24"/>
        </w:rPr>
        <w:t>è spe</w:t>
      </w:r>
      <w:r w:rsidR="00F4033A">
        <w:rPr>
          <w:rFonts w:ascii="Century Gothic" w:eastAsia="Century Gothic" w:hAnsi="Century Gothic" w:cs="Century Gothic"/>
          <w:sz w:val="24"/>
          <w:szCs w:val="24"/>
        </w:rPr>
        <w:t xml:space="preserve">sso difficile da diagnosticare, </w:t>
      </w:r>
      <w:r>
        <w:rPr>
          <w:rFonts w:ascii="Century Gothic" w:eastAsia="Century Gothic" w:hAnsi="Century Gothic" w:cs="Century Gothic"/>
          <w:sz w:val="24"/>
          <w:szCs w:val="24"/>
        </w:rPr>
        <w:t>quindi i casi non vengono intercettati e di conseguenza non segnalati</w:t>
      </w:r>
      <w:r>
        <w:rPr>
          <w:rFonts w:ascii="Arial" w:eastAsia="Century Gothic" w:hAnsi="Arial" w:cs="Century Gothic"/>
          <w:sz w:val="24"/>
          <w:szCs w:val="24"/>
        </w:rPr>
        <w:t xml:space="preserve">.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Il picco di incidenza della SBS si ha tra le 2 settimane e i 6 mesi di vita, periodo di massima intensità del pianto del lattante. Nei primi mesi di vita, le caratteristiche anatomiche del neonato aumentano il rischio di sviluppare lesioni cerebrali: il piccolo non ha il controllo del capo </w:t>
      </w:r>
      <w:r w:rsidR="001D27DD">
        <w:rPr>
          <w:rFonts w:ascii="Century Gothic" w:eastAsia="Century Gothic" w:hAnsi="Century Gothic" w:cs="Century Gothic"/>
          <w:sz w:val="24"/>
          <w:szCs w:val="24"/>
        </w:rPr>
        <w:t>perché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i muscoli del collo sono deboli; la testa è più grande rispetto al resto del corpo; il cervello ha una consistenza gelatinosa e quindi risulta più vulnerabile; infine, esiste una differenza di forza e dimensione tra il bambino e il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caregiver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. </w:t>
      </w:r>
    </w:p>
    <w:p w:rsidR="0076557E" w:rsidRDefault="0076557E">
      <w:pPr>
        <w:ind w:end="0.25pt"/>
        <w:jc w:val="both"/>
        <w:rPr>
          <w:rFonts w:ascii="Century Gothic" w:eastAsia="Century Gothic" w:hAnsi="Century Gothic" w:cs="Century Gothic"/>
          <w:b/>
          <w:bCs/>
          <w:sz w:val="24"/>
          <w:szCs w:val="24"/>
        </w:rPr>
      </w:pPr>
    </w:p>
    <w:p w:rsidR="0076557E" w:rsidRDefault="00441F1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I </w:t>
      </w:r>
      <w:r w:rsidR="001D27DD">
        <w:rPr>
          <w:rFonts w:ascii="Century Gothic" w:eastAsia="Century Gothic" w:hAnsi="Century Gothic" w:cs="Century Gothic"/>
          <w:b/>
          <w:bCs/>
          <w:sz w:val="24"/>
          <w:szCs w:val="24"/>
        </w:rPr>
        <w:t>s</w:t>
      </w:r>
      <w:r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intomi.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Non è facile per i genitori rendersi conto della sindrome in atto. Spesso i bambini vengono portati in Pronto soccorso per altri sintomi: vomito, inappetenza, difficoltà di suzione o deglutizione, irritabilità, letargia, assenza di sorrisi o di vocalizzi, </w:t>
      </w:r>
      <w:r>
        <w:rPr>
          <w:rFonts w:ascii="Century Gothic" w:eastAsia="Century Gothic" w:hAnsi="Century Gothic" w:cs="Century Gothic"/>
          <w:sz w:val="24"/>
          <w:szCs w:val="24"/>
        </w:rPr>
        <w:lastRenderedPageBreak/>
        <w:t>rigidità o cattiva postura, difficoltà respiratorie, aumento della circonferenza cranica, difficoltà di controllo del capo, frequenti e lamentosi pianti incontrollabili e, nei casi più gravi, convulsioni e alterazioni della coscienza, fino all’arresto cardiorespiratorio.</w:t>
      </w:r>
      <w:r w:rsidR="001D27DD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Il personale sanitario sottolinea l’importanza di non sottovalutare nessuno di questi segnali e d</w:t>
      </w:r>
      <w:r w:rsidR="00F4033A">
        <w:rPr>
          <w:rFonts w:ascii="Century Gothic" w:eastAsia="Century Gothic" w:hAnsi="Century Gothic" w:cs="Century Gothic"/>
          <w:sz w:val="24"/>
          <w:szCs w:val="24"/>
        </w:rPr>
        <w:t xml:space="preserve">i recarsi al Pronto soccorso il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prima possibile se si ha anche solo il dubbio di aver scosso il proprio bambino. </w:t>
      </w:r>
    </w:p>
    <w:p w:rsidR="0076557E" w:rsidRDefault="0076557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76557E" w:rsidRDefault="00441F1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Conseguenze. </w:t>
      </w:r>
      <w:r>
        <w:rPr>
          <w:rFonts w:ascii="Century Gothic" w:eastAsia="Century Gothic" w:hAnsi="Century Gothic" w:cs="Century Gothic"/>
          <w:sz w:val="24"/>
          <w:szCs w:val="24"/>
        </w:rPr>
        <w:t>Pochi movimenti violenti potrebbero stirare i tessuti o provocare emorragie e ischemie, causando danni cerebrali permanenti che ad oggi si registrano in più della metà dei casi. I bambini scossi durante la loro infanzia potrebbero poi riportare disturbi dell’apprendimento, cognitivi e comportamentali, oltre che ritardi nello sviluppo psicomotorio. Le conseguenze più gravi possono anche arrivare al decesso del neonato, una condizione che, secondo la letteratura scientifica, affligge 1 bambino su 4.</w:t>
      </w:r>
    </w:p>
    <w:p w:rsidR="0076557E" w:rsidRDefault="00441F1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:rsidR="0076557E" w:rsidRDefault="00441F1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t>Cosa non fare.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Il pianto del lattante, soprattutto nei primi mesi di vita, può sembrare davvero inconsolabile e, talvolta, il riflesso dei genitori può essere quello di scuoterlo, come espressione di frustrazione e stanchezza. Per calmare il piccolo, si consiglia, dopo essersi accertati che non abbia febbre o coliche, averlo nutrito, cambiato, coccolato e rassicurato, di cullarlo nella carrozzina, fargli fare un giro in macchina o un bagnetto rilassante, oppure di fasciarlo con un lenzuolo piegandogli gli arti in modo che ritorni in posizione fetale. Se non dovesse bastare, e il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caregiver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sentisse il venir meno della pazienza, si invita a lasciare il bambino in un posto sicuro, ad allontanarsi e a chiedere aiuto. </w:t>
      </w:r>
    </w:p>
    <w:p w:rsidR="0076557E" w:rsidRDefault="0076557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76557E" w:rsidRDefault="00D37CBD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 w:rsidRPr="00D37CBD">
        <w:rPr>
          <w:rFonts w:ascii="Century Gothic" w:eastAsia="Century Gothic" w:hAnsi="Century Gothic" w:cs="Century Gothic"/>
          <w:b/>
          <w:sz w:val="24"/>
          <w:szCs w:val="24"/>
        </w:rPr>
        <w:t xml:space="preserve">Casistica </w:t>
      </w:r>
      <w:proofErr w:type="spellStart"/>
      <w:r w:rsidR="00441F1E" w:rsidRPr="00D37CBD">
        <w:rPr>
          <w:rFonts w:ascii="Century Gothic" w:eastAsia="Century Gothic" w:hAnsi="Century Gothic" w:cs="Century Gothic"/>
          <w:b/>
          <w:sz w:val="24"/>
          <w:szCs w:val="24"/>
        </w:rPr>
        <w:t>Aoui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>.</w:t>
      </w:r>
      <w:r w:rsidR="00441F1E" w:rsidRPr="00D37CBD">
        <w:rPr>
          <w:rFonts w:ascii="Century Gothic" w:eastAsia="Century Gothic" w:hAnsi="Century Gothic" w:cs="Century Gothic"/>
          <w:sz w:val="24"/>
          <w:szCs w:val="24"/>
        </w:rPr>
        <w:t xml:space="preserve"> sono circa 3/5 l’anno i casi dei neonati curati per la Sindrome del Bambino Scosso. Data la complessità nel diagnosticare la sindrome, altrettanto difficile è avere dati certi. Nel Pronto soccorso pediatrico di </w:t>
      </w:r>
      <w:proofErr w:type="spellStart"/>
      <w:r w:rsidR="00441F1E" w:rsidRPr="00D37CBD">
        <w:rPr>
          <w:rFonts w:ascii="Century Gothic" w:eastAsia="Century Gothic" w:hAnsi="Century Gothic" w:cs="Century Gothic"/>
          <w:sz w:val="24"/>
          <w:szCs w:val="24"/>
        </w:rPr>
        <w:t>Aoui</w:t>
      </w:r>
      <w:proofErr w:type="spellEnd"/>
      <w:r w:rsidR="00441F1E" w:rsidRPr="00D37CBD">
        <w:rPr>
          <w:rFonts w:ascii="Century Gothic" w:eastAsia="Century Gothic" w:hAnsi="Century Gothic" w:cs="Century Gothic"/>
          <w:sz w:val="24"/>
          <w:szCs w:val="24"/>
        </w:rPr>
        <w:t xml:space="preserve"> più della metà dei neonati scossi alla Risonanza magnetica presenta lesioni sia fresche sia pregresse e un caso su 3 non è la prima volta che arriva in Pronto soccorso. Il 65% dei pazienti proviene da nuclei familiari fragili, con casi di depressione, abuso di droghe e episodi di violenza che aumentano la difficoltà nel gestire il pianto incontrollato del bambino. </w:t>
      </w:r>
    </w:p>
    <w:p w:rsidR="00D37CBD" w:rsidRPr="00D37CBD" w:rsidRDefault="00D37CBD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D37CBD" w:rsidRPr="00D37CBD" w:rsidRDefault="00D37CBD" w:rsidP="00D37CBD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 w:rsidRPr="00D37CBD">
        <w:rPr>
          <w:rFonts w:ascii="Century Gothic" w:eastAsia="Century Gothic" w:hAnsi="Century Gothic" w:cs="Century Gothic"/>
          <w:bCs/>
          <w:sz w:val="24"/>
          <w:szCs w:val="24"/>
        </w:rPr>
        <w:t xml:space="preserve">Allo stand 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informativo </w:t>
      </w:r>
      <w:r w:rsidRPr="00D37CBD">
        <w:rPr>
          <w:rFonts w:ascii="Century Gothic" w:eastAsia="Century Gothic" w:hAnsi="Century Gothic" w:cs="Century Gothic"/>
          <w:bCs/>
          <w:sz w:val="24"/>
          <w:szCs w:val="24"/>
        </w:rPr>
        <w:t>erano presenti</w:t>
      </w:r>
      <w:r>
        <w:rPr>
          <w:rFonts w:ascii="Century Gothic" w:eastAsia="Century Gothic" w:hAnsi="Century Gothic" w:cs="Century Gothic"/>
          <w:bCs/>
          <w:sz w:val="24"/>
          <w:szCs w:val="24"/>
        </w:rPr>
        <w:t xml:space="preserve"> 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il dott. </w:t>
      </w:r>
      <w:r w:rsidRPr="00D37CBD">
        <w:rPr>
          <w:rFonts w:ascii="Century Gothic" w:eastAsia="Century Gothic" w:hAnsi="Century Gothic" w:cs="Century Gothic"/>
          <w:b/>
          <w:sz w:val="24"/>
          <w:szCs w:val="24"/>
        </w:rPr>
        <w:t xml:space="preserve">Pierantonio </w:t>
      </w:r>
      <w:proofErr w:type="spellStart"/>
      <w:r w:rsidRPr="00D37CBD">
        <w:rPr>
          <w:rFonts w:ascii="Century Gothic" w:eastAsia="Century Gothic" w:hAnsi="Century Gothic" w:cs="Century Gothic"/>
          <w:b/>
          <w:sz w:val="24"/>
          <w:szCs w:val="24"/>
        </w:rPr>
        <w:t>Santuz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, direttore, la dott.ssa </w:t>
      </w:r>
      <w:r w:rsidRPr="00D37CBD">
        <w:rPr>
          <w:rFonts w:ascii="Century Gothic" w:eastAsia="Century Gothic" w:hAnsi="Century Gothic" w:cs="Century Gothic"/>
          <w:b/>
          <w:sz w:val="24"/>
          <w:szCs w:val="24"/>
        </w:rPr>
        <w:t xml:space="preserve">Valentina </w:t>
      </w:r>
      <w:proofErr w:type="spellStart"/>
      <w:r w:rsidRPr="00D37CBD">
        <w:rPr>
          <w:rFonts w:ascii="Century Gothic" w:eastAsia="Century Gothic" w:hAnsi="Century Gothic" w:cs="Century Gothic"/>
          <w:b/>
          <w:sz w:val="24"/>
          <w:szCs w:val="24"/>
        </w:rPr>
        <w:t>Guilarte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caposala e dott.ssa </w:t>
      </w:r>
      <w:r w:rsidRPr="00D37CBD">
        <w:rPr>
          <w:rFonts w:ascii="Century Gothic" w:eastAsia="Century Gothic" w:hAnsi="Century Gothic" w:cs="Century Gothic"/>
          <w:b/>
          <w:sz w:val="24"/>
          <w:szCs w:val="24"/>
        </w:rPr>
        <w:t>Giovanna La Fauci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pediatra. </w:t>
      </w:r>
    </w:p>
    <w:p w:rsidR="0076557E" w:rsidRDefault="0076557E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D37CBD" w:rsidRDefault="00441F1E" w:rsidP="00D37CBD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Dott. Pierantonio </w:t>
      </w:r>
      <w:proofErr w:type="spellStart"/>
      <w:r>
        <w:rPr>
          <w:rFonts w:ascii="Century Gothic" w:eastAsia="Century Gothic" w:hAnsi="Century Gothic" w:cs="Century Gothic"/>
          <w:b/>
          <w:bCs/>
          <w:sz w:val="24"/>
          <w:szCs w:val="24"/>
        </w:rPr>
        <w:t>Santuz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: </w:t>
      </w:r>
      <w:r w:rsidR="00D37CBD">
        <w:rPr>
          <w:rFonts w:ascii="Century Gothic" w:eastAsia="Century Gothic" w:hAnsi="Century Gothic" w:cs="Century Gothic"/>
          <w:sz w:val="24"/>
          <w:szCs w:val="24"/>
        </w:rPr>
        <w:t>“</w:t>
      </w:r>
      <w:r w:rsidR="00D37CBD" w:rsidRPr="00D37CBD">
        <w:rPr>
          <w:rFonts w:ascii="Century Gothic" w:eastAsia="Century Gothic" w:hAnsi="Century Gothic" w:cs="Century Gothic"/>
          <w:sz w:val="24"/>
          <w:szCs w:val="24"/>
        </w:rPr>
        <w:t xml:space="preserve">A Verona, la sindrome del bambino scosso riguarda circa 3-5 casi all'anno. Dico 'circa' perché non è facile quantificare con esattezza questo fenomeno. Nella nostra realtà, i casi più gravi hanno un’incidenza di 1 o 2 bambini l’anno: si tratta di situazioni in cui il piccolo presenta sintomi pesanti, dalla ridotta </w:t>
      </w:r>
      <w:r w:rsidR="00D37CBD" w:rsidRPr="00D37CBD">
        <w:rPr>
          <w:rFonts w:ascii="Century Gothic" w:eastAsia="Century Gothic" w:hAnsi="Century Gothic" w:cs="Century Gothic"/>
          <w:sz w:val="24"/>
          <w:szCs w:val="24"/>
        </w:rPr>
        <w:lastRenderedPageBreak/>
        <w:t>coscienza fino al coma, che purtroppo lasciano esiti neurologici permanenti. Non è un problema solo locale: a livello globale, questa sindrome si verifica con una frequenza di 20-30 casi ogni 100 mila bambini.</w:t>
      </w:r>
    </w:p>
    <w:p w:rsidR="00D37CBD" w:rsidRPr="00D37CBD" w:rsidRDefault="00D37CBD" w:rsidP="00D37CBD">
      <w:pPr>
        <w:ind w:end="0.25pt"/>
        <w:jc w:val="both"/>
        <w:rPr>
          <w:rFonts w:ascii="Century Gothic" w:eastAsia="Century Gothic" w:hAnsi="Century Gothic" w:cs="Century Gothic"/>
          <w:sz w:val="24"/>
          <w:szCs w:val="24"/>
        </w:rPr>
      </w:pPr>
      <w:r w:rsidRPr="00D37CBD">
        <w:rPr>
          <w:rFonts w:ascii="Century Gothic" w:eastAsia="Century Gothic" w:hAnsi="Century Gothic" w:cs="Century Gothic"/>
          <w:sz w:val="24"/>
          <w:szCs w:val="24"/>
        </w:rPr>
        <w:br/>
      </w:r>
      <w:r w:rsidRPr="00D37CBD">
        <w:rPr>
          <w:rFonts w:ascii="Century Gothic" w:eastAsia="Century Gothic" w:hAnsi="Century Gothic" w:cs="Century Gothic"/>
          <w:b/>
          <w:sz w:val="24"/>
          <w:szCs w:val="24"/>
        </w:rPr>
        <w:t>Dott.ssa La Fauci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: 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>"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Aoui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>aderi</w:t>
      </w:r>
      <w:r>
        <w:rPr>
          <w:rFonts w:ascii="Century Gothic" w:eastAsia="Century Gothic" w:hAnsi="Century Gothic" w:cs="Century Gothic"/>
          <w:sz w:val="24"/>
          <w:szCs w:val="24"/>
        </w:rPr>
        <w:t>sc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e al progetto nazionale </w:t>
      </w:r>
      <w:r>
        <w:rPr>
          <w:rFonts w:ascii="Century Gothic" w:eastAsia="Century Gothic" w:hAnsi="Century Gothic" w:cs="Century Gothic"/>
          <w:sz w:val="24"/>
          <w:szCs w:val="24"/>
        </w:rPr>
        <w:t>di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prevenzione della </w:t>
      </w:r>
      <w:r>
        <w:rPr>
          <w:rFonts w:ascii="Century Gothic" w:eastAsia="Century Gothic" w:hAnsi="Century Gothic" w:cs="Century Gothic"/>
          <w:sz w:val="24"/>
          <w:szCs w:val="24"/>
        </w:rPr>
        <w:t>S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indrome del bambino scosso. </w:t>
      </w:r>
      <w:r>
        <w:rPr>
          <w:rFonts w:ascii="Century Gothic" w:eastAsia="Century Gothic" w:hAnsi="Century Gothic" w:cs="Century Gothic"/>
          <w:sz w:val="24"/>
          <w:szCs w:val="24"/>
        </w:rPr>
        <w:t>U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na forma grave di maltrattamento fisico che, purtroppo, avviene spesso in modo inconsapevole da parte del genitore o del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caregiver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>.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>Il fenomeno interessa solitamente i neonati tra le due settimane e i sei mesi di vita, in coincidenza con il periodo in cui il bambino piange di più senza un motivo apparente. Lo stress e l'esasperazione portano chi si prende cura del piccolo a compiere questo gesto nel tentativo di farlo smettere.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Tecnicamente, la testa del neonato pesa molto più del resto del corpo e, a causa della fisiologica lassità legamentosa del collo, lo scuotimento fa muovere il cranio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a 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>una velocità eccessiva. L’encefalo, che ha ancora una consistenza gelatinosa, urta violentemente contro le pareti ossee, causando contusioni ed emorragie cerebrali. Questi traumi spiegano i quadri clinici neurologici con cui i bambini giungono in ospedale e che possono portare anche al decesso. Un bambino su tre sopravvive, ma spesso riportando esiti cerebrali gravissimi</w:t>
      </w:r>
      <w:r>
        <w:rPr>
          <w:rFonts w:ascii="Century Gothic" w:eastAsia="Century Gothic" w:hAnsi="Century Gothic" w:cs="Century Gothic"/>
          <w:sz w:val="24"/>
          <w:szCs w:val="24"/>
        </w:rPr>
        <w:t>”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>.</w:t>
      </w:r>
    </w:p>
    <w:p w:rsidR="00D37CBD" w:rsidRPr="00D37CBD" w:rsidRDefault="00D37CBD" w:rsidP="00D37CBD">
      <w:pPr>
        <w:rPr>
          <w:rFonts w:ascii="Century Gothic" w:eastAsia="Century Gothic" w:hAnsi="Century Gothic" w:cs="Century Gothic"/>
          <w:sz w:val="24"/>
          <w:szCs w:val="24"/>
        </w:rPr>
      </w:pPr>
    </w:p>
    <w:p w:rsidR="00D37CBD" w:rsidRDefault="00D37CBD" w:rsidP="00D37CBD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  <w:r w:rsidRPr="00D37CBD">
        <w:rPr>
          <w:rFonts w:ascii="Century Gothic" w:eastAsia="Century Gothic" w:hAnsi="Century Gothic" w:cs="Century Gothic"/>
          <w:b/>
          <w:sz w:val="24"/>
          <w:szCs w:val="24"/>
        </w:rPr>
        <w:t xml:space="preserve">Dott.ssa </w:t>
      </w:r>
      <w:proofErr w:type="spellStart"/>
      <w:r w:rsidRPr="00D37CBD">
        <w:rPr>
          <w:rFonts w:ascii="Century Gothic" w:eastAsia="Century Gothic" w:hAnsi="Century Gothic" w:cs="Century Gothic"/>
          <w:b/>
          <w:sz w:val="24"/>
          <w:szCs w:val="24"/>
        </w:rPr>
        <w:t>Guilarte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: “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Oggi vogliamo fare un appello a genitori e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caregiver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. Se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vi accorgete che 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>sta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e per perdere il controllo e avvertite di non farcela più, fermatevi e chiedete aiuto: a un amico, ai nonni, a chiunque vi sia vicino. Rivolgetevi con fiducia al vostro pediatra di libera scelta o al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nostro 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>Pronto Soccorso Pediatrico, che è attivo 24 ore su 24, ogni giorno dell'anno. Non siete soli: se siete in difficoltà, chiedete aiuto a noi</w:t>
      </w:r>
      <w:r>
        <w:rPr>
          <w:rFonts w:ascii="Century Gothic" w:eastAsia="Century Gothic" w:hAnsi="Century Gothic" w:cs="Century Gothic"/>
          <w:sz w:val="24"/>
          <w:szCs w:val="24"/>
        </w:rPr>
        <w:t>”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>.</w:t>
      </w:r>
    </w:p>
    <w:p w:rsidR="00D37CBD" w:rsidRDefault="00D37CBD" w:rsidP="00D37CBD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D37CBD" w:rsidRPr="00D37CBD" w:rsidRDefault="00D37CBD" w:rsidP="00D37CBD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Agli stand informativi sono presenti anche gli altri membri dell’équipe del Pronto Soccorso pediatrico: 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dott.ssa Agnese Corbelli medico, Chiara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Sandri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specializzanda, dott. Davide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Salvagni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medico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Mariavittoria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Colella specializzanda, dott.ssa Giovanna La Fauci </w:t>
      </w:r>
      <w:r>
        <w:rPr>
          <w:rFonts w:ascii="Century Gothic" w:eastAsia="Century Gothic" w:hAnsi="Century Gothic" w:cs="Century Gothic"/>
          <w:sz w:val="24"/>
          <w:szCs w:val="24"/>
        </w:rPr>
        <w:t>medico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, dott. Pierantonio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Santuz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direttore Pronto soccorso pediatrico, dott.ssa Valentina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Guilarte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caposala Pronto soccorso pediatrico, dott.ssa Gloria Agazzi Direzione medica ospedaliera, Orazio Augusto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Guarrera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specializzando, dott. Luca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Bertuzzi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infermiere Pronto soccorso pediatrico, dott.ssa Simona Spada </w:t>
      </w:r>
      <w:r>
        <w:rPr>
          <w:rFonts w:ascii="Century Gothic" w:eastAsia="Century Gothic" w:hAnsi="Century Gothic" w:cs="Century Gothic"/>
          <w:sz w:val="24"/>
          <w:szCs w:val="24"/>
        </w:rPr>
        <w:t>medico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, dott.ssa Virginia </w:t>
      </w:r>
      <w:proofErr w:type="spellStart"/>
      <w:r w:rsidRPr="00D37CBD">
        <w:rPr>
          <w:rFonts w:ascii="Century Gothic" w:eastAsia="Century Gothic" w:hAnsi="Century Gothic" w:cs="Century Gothic"/>
          <w:sz w:val="24"/>
          <w:szCs w:val="24"/>
        </w:rPr>
        <w:t>Murri</w:t>
      </w:r>
      <w:proofErr w:type="spellEnd"/>
      <w:r w:rsidRPr="00D37CBD">
        <w:rPr>
          <w:rFonts w:ascii="Century Gothic" w:eastAsia="Century Gothic" w:hAnsi="Century Gothic" w:cs="Century Gothic"/>
          <w:sz w:val="24"/>
          <w:szCs w:val="24"/>
        </w:rPr>
        <w:t xml:space="preserve"> medico Pediatria C, dott.ssa Federica Minniti </w:t>
      </w:r>
      <w:r w:rsidR="00494912">
        <w:rPr>
          <w:rFonts w:ascii="Century Gothic" w:eastAsia="Century Gothic" w:hAnsi="Century Gothic" w:cs="Century Gothic"/>
          <w:sz w:val="24"/>
          <w:szCs w:val="24"/>
        </w:rPr>
        <w:t>medico</w:t>
      </w:r>
      <w:r w:rsidRPr="00D37CBD">
        <w:rPr>
          <w:rFonts w:ascii="Century Gothic" w:eastAsia="Century Gothic" w:hAnsi="Century Gothic" w:cs="Century Gothic"/>
          <w:sz w:val="24"/>
          <w:szCs w:val="24"/>
        </w:rPr>
        <w:t>.</w:t>
      </w:r>
    </w:p>
    <w:p w:rsidR="0076557E" w:rsidRDefault="0076557E" w:rsidP="00D37CBD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</w:p>
    <w:sectPr w:rsidR="007655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595.30pt" w:h="841.90pt"/>
      <w:pgMar w:top="70.90pt" w:right="56.70pt" w:bottom="56.70pt" w:left="56.70pt" w:header="35.45pt" w:footer="35.45pt" w:gutter="0pt"/>
      <w:pgNumType w:start="1"/>
      <w:cols w:space="36pt"/>
      <w:formProt w:val="0"/>
      <w:docGrid w:linePitch="100" w:charSpace="8192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endnote w:type="separator" w:id="-1">
    <w:p w:rsidR="002A0CB3" w:rsidRDefault="002A0CB3">
      <w:r>
        <w:separator/>
      </w:r>
    </w:p>
  </w:endnote>
  <w:endnote w:type="continuationSeparator" w:id="0">
    <w:p w:rsidR="002A0CB3" w:rsidRDefault="002A0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Mangal">
    <w:altName w:val="Cambria"/>
    <w:panose1 w:val="00000400000000000000"/>
    <w:charset w:characterSet="iso-8859-1"/>
    <w:family w:val="roman"/>
    <w:pitch w:val="variable"/>
    <w:sig w:usb0="00002000" w:usb1="00000000" w:usb2="00000000" w:usb3="00000000" w:csb0="00000000" w:csb1="00000000"/>
  </w:font>
  <w:font w:name="Calibri">
    <w:panose1 w:val="020F0502020204030204"/>
    <w:charset w:characterSet="iso-8859-1"/>
    <w:family w:val="swiss"/>
    <w:pitch w:val="variable"/>
    <w:sig w:usb0="E4002EFF" w:usb1="C000247B" w:usb2="00000009" w:usb3="00000000" w:csb0="000001FF" w:csb1="00000000"/>
    <w:embedRegular r:id="rId1" w:fontKey="{2DFBA7A6-A860-42A8-967C-89EEEA71C20E}"/>
  </w:font>
  <w:font w:name="Century Gothic">
    <w:panose1 w:val="020B0502020202020204"/>
    <w:charset w:characterSet="iso-8859-1"/>
    <w:family w:val="swiss"/>
    <w:pitch w:val="variable"/>
    <w:sig w:usb0="00000287" w:usb1="00000000" w:usb2="00000000" w:usb3="00000000" w:csb0="0000009F" w:csb1="00000000"/>
    <w:embedRegular r:id="rId2" w:fontKey="{BCCD66F9-9F23-4652-B3A7-2A08FACBB77F}"/>
    <w:embedBold r:id="rId3" w:fontKey="{458364CE-E302-4280-97D6-65ED3353DF6B}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characterSet="iso-8859-1"/>
    <w:family w:val="roman"/>
    <w:pitch w:val="variable"/>
    <w:sig w:usb0="E00006FF" w:usb1="420024FF" w:usb2="02000000" w:usb3="00000000" w:csb0="0000019F" w:csb1="00000000"/>
    <w:embedRegular r:id="rId4" w:fontKey="{4AB79D89-6CD6-43A2-8F30-E098B7E172AF}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76557E" w:rsidRDefault="00441F1E">
    <w:pPr>
      <w:tabs>
        <w:tab w:val="center" w:pos="240.95pt"/>
        <w:tab w:val="end" w:pos="481.90pt"/>
      </w:tabs>
      <w:rPr>
        <w:color w:val="000000"/>
      </w:rPr>
    </w:pPr>
    <w:r>
      <w:rPr>
        <w:color w:val="000000"/>
      </w:rPr>
      <w:t xml:space="preserve">Ospedale </w:t>
    </w: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76557E" w:rsidRDefault="00441F1E">
    <w:pPr>
      <w:pBdr>
        <w:top w:val="single" w:sz="4" w:space="1" w:color="000000"/>
      </w:pBdr>
      <w:tabs>
        <w:tab w:val="center" w:pos="240.95pt"/>
        <w:tab w:val="end" w:pos="481.90pt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</w:rPr>
      <w:t>AOUI Verona Notizie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Registrazione al Tribunale di Verona n° 2222 del 23/10/2025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Sede Legale: Piazzale A. Stefani, 1 – 37126 Verona</w:t>
    </w:r>
  </w:p>
  <w:p w:rsidR="0076557E" w:rsidRDefault="00441F1E">
    <w:pPr>
      <w:tabs>
        <w:tab w:val="center" w:pos="240.95pt"/>
        <w:tab w:val="end" w:pos="481.90pt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  <w:sz w:val="17"/>
        <w:szCs w:val="17"/>
      </w:rPr>
      <w:t>Tel. 045/812 1293 - 045/812 2206 - C.F. e P.IVA 03901420236</w:t>
    </w:r>
  </w:p>
  <w:p w:rsidR="0076557E" w:rsidRDefault="002A0CB3">
    <w:pPr>
      <w:tabs>
        <w:tab w:val="center" w:pos="240.95pt"/>
        <w:tab w:val="end" w:pos="481.90pt"/>
      </w:tabs>
      <w:jc w:val="center"/>
      <w:rPr>
        <w:color w:val="000000"/>
        <w:sz w:val="16"/>
        <w:szCs w:val="16"/>
      </w:rPr>
    </w:pPr>
    <w:hyperlink r:id="rId1">
      <w:r w:rsidR="00441F1E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www.aovr.veneto.it</w:t>
      </w:r>
    </w:hyperlink>
    <w:r w:rsidR="00441F1E">
      <w:rPr>
        <w:rFonts w:ascii="Century Gothic" w:eastAsia="Century Gothic" w:hAnsi="Century Gothic" w:cs="Century Gothic"/>
        <w:color w:val="000000"/>
        <w:sz w:val="17"/>
        <w:szCs w:val="17"/>
      </w:rPr>
      <w:t xml:space="preserve">  -  e-mail: </w:t>
    </w:r>
    <w:hyperlink r:id="rId2">
      <w:r w:rsidR="00441F1E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ufficio.stampa@aovr.veneto.it</w:t>
      </w:r>
    </w:hyperlink>
  </w:p>
  <w:p w:rsidR="0076557E" w:rsidRDefault="00441F1E">
    <w:pPr>
      <w:tabs>
        <w:tab w:val="center" w:pos="240.95pt"/>
        <w:tab w:val="end" w:pos="481.90pt"/>
      </w:tabs>
      <w:spacing w:before="2pt" w:line="13.05pt" w:lineRule="auto"/>
      <w:jc w:val="center"/>
      <w:rPr>
        <w:color w:val="000000"/>
      </w:rPr>
    </w:pPr>
    <w:r>
      <w:rPr>
        <w:color w:val="000000"/>
        <w:sz w:val="16"/>
        <w:szCs w:val="16"/>
      </w:rPr>
      <w:t xml:space="preserve">- </w:t>
    </w: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 xml:space="preserve"> PAGE </w:instrText>
    </w:r>
    <w:r>
      <w:rPr>
        <w:color w:val="000000"/>
        <w:sz w:val="16"/>
        <w:szCs w:val="16"/>
      </w:rPr>
      <w:fldChar w:fldCharType="separate"/>
    </w:r>
    <w:r w:rsidR="00DC08CE">
      <w:rPr>
        <w:noProof/>
        <w:color w:val="000000"/>
        <w:sz w:val="16"/>
        <w:szCs w:val="16"/>
      </w:rPr>
      <w:t>3</w:t>
    </w:r>
    <w:r>
      <w:rPr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-</w:t>
    </w: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76557E" w:rsidRDefault="00441F1E">
    <w:pPr>
      <w:pBdr>
        <w:top w:val="single" w:sz="4" w:space="1" w:color="000000"/>
      </w:pBdr>
      <w:tabs>
        <w:tab w:val="center" w:pos="240.95pt"/>
        <w:tab w:val="end" w:pos="481.90pt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</w:rPr>
      <w:t>AOUI Verona Notizie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Registrazione al Tribunale di Verona n° 2222 del 23/10/2025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Sede Legale: Piazzale A. Stefani, 1 – 37126 Verona</w:t>
    </w:r>
  </w:p>
  <w:p w:rsidR="0076557E" w:rsidRDefault="00441F1E">
    <w:pPr>
      <w:tabs>
        <w:tab w:val="center" w:pos="240.95pt"/>
        <w:tab w:val="end" w:pos="481.90pt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  <w:sz w:val="17"/>
        <w:szCs w:val="17"/>
      </w:rPr>
      <w:t>Tel. 045/812 1293 - 045/812 2206 - C.F. e P.IVA 03901420236</w:t>
    </w:r>
  </w:p>
  <w:p w:rsidR="0076557E" w:rsidRDefault="002A0CB3">
    <w:pPr>
      <w:tabs>
        <w:tab w:val="center" w:pos="240.95pt"/>
        <w:tab w:val="end" w:pos="481.90pt"/>
      </w:tabs>
      <w:jc w:val="center"/>
      <w:rPr>
        <w:color w:val="000000"/>
        <w:sz w:val="16"/>
        <w:szCs w:val="16"/>
      </w:rPr>
    </w:pPr>
    <w:hyperlink r:id="rId1">
      <w:r w:rsidR="00441F1E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www.aovr.veneto.it</w:t>
      </w:r>
    </w:hyperlink>
    <w:r w:rsidR="00441F1E">
      <w:rPr>
        <w:rFonts w:ascii="Century Gothic" w:eastAsia="Century Gothic" w:hAnsi="Century Gothic" w:cs="Century Gothic"/>
        <w:color w:val="000000"/>
        <w:sz w:val="17"/>
        <w:szCs w:val="17"/>
      </w:rPr>
      <w:t xml:space="preserve">  -  e-mail: </w:t>
    </w:r>
    <w:hyperlink r:id="rId2">
      <w:r w:rsidR="00441F1E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ufficio.stampa@aovr.veneto.it</w:t>
      </w:r>
    </w:hyperlink>
  </w:p>
  <w:p w:rsidR="0076557E" w:rsidRDefault="00441F1E">
    <w:pPr>
      <w:tabs>
        <w:tab w:val="center" w:pos="240.95pt"/>
        <w:tab w:val="end" w:pos="481.90pt"/>
      </w:tabs>
      <w:spacing w:before="2pt" w:line="13.05pt" w:lineRule="auto"/>
      <w:jc w:val="center"/>
      <w:rPr>
        <w:color w:val="000000"/>
      </w:rPr>
    </w:pPr>
    <w:r>
      <w:rPr>
        <w:color w:val="000000"/>
        <w:sz w:val="16"/>
        <w:szCs w:val="16"/>
      </w:rPr>
      <w:t xml:space="preserve">- </w:t>
    </w: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 xml:space="preserve"> PAGE </w:instrText>
    </w:r>
    <w:r>
      <w:rPr>
        <w:color w:val="000000"/>
        <w:sz w:val="16"/>
        <w:szCs w:val="16"/>
      </w:rPr>
      <w:fldChar w:fldCharType="separate"/>
    </w:r>
    <w:r>
      <w:rPr>
        <w:color w:val="000000"/>
        <w:sz w:val="16"/>
        <w:szCs w:val="16"/>
      </w:rPr>
      <w:t>3</w:t>
    </w:r>
    <w:r>
      <w:rPr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-</w:t>
    </w: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footnote w:type="separator" w:id="-1">
    <w:p w:rsidR="002A0CB3" w:rsidRDefault="002A0CB3">
      <w:r>
        <w:separator/>
      </w:r>
    </w:p>
  </w:footnote>
  <w:footnote w:type="continuationSeparator" w:id="0">
    <w:p w:rsidR="002A0CB3" w:rsidRDefault="002A0CB3"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76557E" w:rsidRDefault="0076557E">
    <w:pPr>
      <w:pStyle w:val="Intestazione"/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76557E" w:rsidRDefault="00441F1E">
    <w:pPr>
      <w:tabs>
        <w:tab w:val="center" w:pos="240.95pt"/>
        <w:tab w:val="end" w:pos="481.90pt"/>
      </w:tabs>
      <w:spacing w:before="2pt"/>
      <w:jc w:val="center"/>
      <w:rPr>
        <w:color w:val="000000"/>
      </w:rPr>
    </w:pPr>
    <w:r>
      <w:rPr>
        <w:noProof/>
      </w:rPr>
      <w:drawing>
        <wp:anchor distT="0" distB="0" distL="0" distR="0" simplePos="0" relativeHeight="251656192" behindDoc="1" locked="0" layoutInCell="1" allowOverlap="1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1" name="image2.png" descr="Logo Università degli Studi di Verona"/>
          <wp:cNvGraphicFramePr>
            <a:graphicFrameLocks xmlns:a="http://purl.oclc.org/ooxml/drawingml/main" noChangeAspect="1"/>
          </wp:cNvGraphicFramePr>
          <a:graphic xmlns:a="http://purl.oclc.org/ooxml/drawingml/main">
            <a:graphicData uri="http://purl.oclc.org/ooxml/drawingml/picture">
              <pic:pic xmlns:pic="http://purl.oclc.org/ooxml/drawingml/picture">
                <pic:nvPicPr>
                  <pic:cNvPr id="1" name="image2.png" descr="Logo Università degli Studi di Veron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0.013%" t="-0.013%" r="-0.013%" b="-0.013%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229870</wp:posOffset>
          </wp:positionH>
          <wp:positionV relativeFrom="paragraph">
            <wp:posOffset>-12700</wp:posOffset>
          </wp:positionV>
          <wp:extent cx="632460" cy="611505"/>
          <wp:effectExtent l="0" t="0" r="0" b="0"/>
          <wp:wrapNone/>
          <wp:docPr id="2" name="image1.png" descr="Logo Ospedale Santa Casa di Misericordia in Verona"/>
          <wp:cNvGraphicFramePr>
            <a:graphicFrameLocks xmlns:a="http://purl.oclc.org/ooxml/drawingml/main" noChangeAspect="1"/>
          </wp:cNvGraphicFramePr>
          <a:graphic xmlns:a="http://purl.oclc.org/ooxml/drawingml/main">
            <a:graphicData uri="http://purl.oclc.org/ooxml/drawingml/picture">
              <pic:pic xmlns:pic="http://purl.oclc.org/ooxml/drawingml/picture">
                <pic:nvPicPr>
                  <pic:cNvPr id="2" name="image1.png" descr="Logo Ospedale Santa Casa di Misericordia in Verona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4.259%" t="-0.034%" r="-0.03%" b="7.474%"/>
                  <a:stretch>
                    <a:fillRect/>
                  </a:stretch>
                </pic:blipFill>
                <pic:spPr bwMode="auto">
                  <a:xfrm>
                    <a:off x="0" y="0"/>
                    <a:ext cx="632460" cy="611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000000"/>
        <w:sz w:val="26"/>
        <w:szCs w:val="26"/>
      </w:rPr>
      <w:t>AZIENDA OSPEDALIERA UNIVERSITARIA INTEGRATA</w:t>
    </w:r>
  </w:p>
  <w:p w:rsidR="0076557E" w:rsidRDefault="00441F1E">
    <w:pPr>
      <w:tabs>
        <w:tab w:val="center" w:pos="240.95pt"/>
        <w:tab w:val="end" w:pos="481.90pt"/>
      </w:tabs>
      <w:spacing w:before="1pt" w:after="2pt"/>
      <w:jc w:val="center"/>
      <w:rPr>
        <w:color w:val="000000"/>
      </w:rPr>
    </w:pPr>
    <w:r>
      <w:rPr>
        <w:color w:val="000000"/>
        <w:sz w:val="26"/>
        <w:szCs w:val="26"/>
      </w:rPr>
      <w:t>VERONA</w:t>
    </w:r>
  </w:p>
  <w:p w:rsidR="0076557E" w:rsidRDefault="00441F1E">
    <w:pPr>
      <w:tabs>
        <w:tab w:val="center" w:pos="240.95pt"/>
        <w:tab w:val="end" w:pos="481.90pt"/>
      </w:tabs>
      <w:spacing w:before="2pt" w:after="2pt"/>
      <w:jc w:val="center"/>
      <w:rPr>
        <w:color w:val="000000"/>
      </w:rPr>
    </w:pPr>
    <w:r>
      <w:rPr>
        <w:color w:val="000000"/>
      </w:rPr>
      <w:t>(D. Lgs. n. 517/1999 - Art. 3 L.R. Veneto n. 18/2009)</w:t>
    </w:r>
  </w:p>
  <w:tbl>
    <w:tblPr>
      <w:tblW w:w="488.90pt" w:type="dxa"/>
      <w:jc w:val="center"/>
      <w:tblLayout w:type="fixed"/>
      <w:tblLook w:firstRow="0" w:lastRow="0" w:firstColumn="0" w:lastColumn="0" w:noHBand="0" w:noVBand="0"/>
    </w:tblPr>
    <w:tblGrid>
      <w:gridCol w:w="9778"/>
    </w:tblGrid>
    <w:tr w:rsidR="0076557E">
      <w:trPr>
        <w:jc w:val="center"/>
      </w:trPr>
      <w:tc>
        <w:tcPr>
          <w:tcW w:w="488.90pt" w:type="dxa"/>
          <w:tcBorders>
            <w:top w:val="single" w:sz="4" w:space="0" w:color="000000"/>
            <w:bottom w:val="single" w:sz="4" w:space="0" w:color="000000"/>
          </w:tcBorders>
        </w:tcPr>
        <w:p w:rsidR="0076557E" w:rsidRDefault="00441F1E">
          <w:pPr>
            <w:tabs>
              <w:tab w:val="center" w:pos="240.95pt"/>
              <w:tab w:val="end" w:pos="481.90pt"/>
            </w:tabs>
            <w:spacing w:before="3pt" w:after="3pt"/>
            <w:jc w:val="center"/>
            <w:rPr>
              <w:color w:val="000000"/>
            </w:rPr>
          </w:pPr>
          <w:r>
            <w:rPr>
              <w:rFonts w:ascii="Century Gothic" w:eastAsia="Century Gothic" w:hAnsi="Century Gothic" w:cs="Century Gothic"/>
              <w:b/>
              <w:bCs/>
              <w:color w:val="000000"/>
            </w:rPr>
            <w:t>Ufficio Comunicazione Esterna e Stampa</w:t>
          </w:r>
        </w:p>
      </w:tc>
    </w:tr>
  </w:tbl>
  <w:p w:rsidR="0076557E" w:rsidRDefault="0076557E">
    <w:pPr>
      <w:tabs>
        <w:tab w:val="center" w:pos="240.95pt"/>
        <w:tab w:val="end" w:pos="481.90pt"/>
      </w:tabs>
      <w:spacing w:before="3pt" w:after="3pt"/>
      <w:rPr>
        <w:rFonts w:ascii="Century Gothic" w:eastAsia="Century Gothic" w:hAnsi="Century Gothic" w:cs="Century Gothic"/>
        <w:b/>
        <w:bCs/>
        <w:color w:val="000000"/>
      </w:rPr>
    </w:pPr>
  </w:p>
</w:hdr>
</file>

<file path=word/header3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76557E" w:rsidRDefault="00441F1E">
    <w:pPr>
      <w:tabs>
        <w:tab w:val="center" w:pos="240.95pt"/>
        <w:tab w:val="end" w:pos="481.90pt"/>
      </w:tabs>
      <w:spacing w:before="2pt"/>
      <w:jc w:val="center"/>
      <w:rPr>
        <w:color w:val="000000"/>
      </w:rPr>
    </w:pPr>
    <w:r>
      <w:rPr>
        <w:noProof/>
      </w:rPr>
      <w:drawing>
        <wp:anchor distT="0" distB="0" distL="0" distR="0" simplePos="0" relativeHeight="251657216" behindDoc="1" locked="0" layoutInCell="1" allowOverlap="1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3" name="image2.png" descr="Logo Università degli Studi di Verona"/>
          <wp:cNvGraphicFramePr>
            <a:graphicFrameLocks xmlns:a="http://purl.oclc.org/ooxml/drawingml/main" noChangeAspect="1"/>
          </wp:cNvGraphicFramePr>
          <a:graphic xmlns:a="http://purl.oclc.org/ooxml/drawingml/main">
            <a:graphicData uri="http://purl.oclc.org/ooxml/drawingml/picture">
              <pic:pic xmlns:pic="http://purl.oclc.org/ooxml/drawingml/picture">
                <pic:nvPicPr>
                  <pic:cNvPr id="3" name="image2.png" descr="Logo Università degli Studi di Veron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0.013%" t="-0.013%" r="-0.013%" b="-0.013%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229870</wp:posOffset>
          </wp:positionH>
          <wp:positionV relativeFrom="paragraph">
            <wp:posOffset>-12700</wp:posOffset>
          </wp:positionV>
          <wp:extent cx="632460" cy="611505"/>
          <wp:effectExtent l="0" t="0" r="0" b="0"/>
          <wp:wrapNone/>
          <wp:docPr id="4" name="image1.png" descr="Logo Ospedale Santa Casa di Misericordia in Verona"/>
          <wp:cNvGraphicFramePr>
            <a:graphicFrameLocks xmlns:a="http://purl.oclc.org/ooxml/drawingml/main" noChangeAspect="1"/>
          </wp:cNvGraphicFramePr>
          <a:graphic xmlns:a="http://purl.oclc.org/ooxml/drawingml/main">
            <a:graphicData uri="http://purl.oclc.org/ooxml/drawingml/picture">
              <pic:pic xmlns:pic="http://purl.oclc.org/ooxml/drawingml/picture">
                <pic:nvPicPr>
                  <pic:cNvPr id="4" name="image1.png" descr="Logo Ospedale Santa Casa di Misericordia in Verona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4.259%" t="-0.034%" r="-0.03%" b="7.474%"/>
                  <a:stretch>
                    <a:fillRect/>
                  </a:stretch>
                </pic:blipFill>
                <pic:spPr bwMode="auto">
                  <a:xfrm>
                    <a:off x="0" y="0"/>
                    <a:ext cx="632460" cy="611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000000"/>
        <w:sz w:val="26"/>
        <w:szCs w:val="26"/>
      </w:rPr>
      <w:t>AZIENDA OSPEDALIERA UNIVERSITARIA INTEGRATA</w:t>
    </w:r>
  </w:p>
  <w:p w:rsidR="0076557E" w:rsidRDefault="00441F1E">
    <w:pPr>
      <w:tabs>
        <w:tab w:val="center" w:pos="240.95pt"/>
        <w:tab w:val="end" w:pos="481.90pt"/>
      </w:tabs>
      <w:spacing w:before="1pt" w:after="2pt"/>
      <w:jc w:val="center"/>
      <w:rPr>
        <w:color w:val="000000"/>
      </w:rPr>
    </w:pPr>
    <w:r>
      <w:rPr>
        <w:color w:val="000000"/>
        <w:sz w:val="26"/>
        <w:szCs w:val="26"/>
      </w:rPr>
      <w:t>VERONA</w:t>
    </w:r>
  </w:p>
  <w:p w:rsidR="0076557E" w:rsidRDefault="00441F1E">
    <w:pPr>
      <w:tabs>
        <w:tab w:val="center" w:pos="240.95pt"/>
        <w:tab w:val="end" w:pos="481.90pt"/>
      </w:tabs>
      <w:spacing w:before="2pt" w:after="2pt"/>
      <w:jc w:val="center"/>
      <w:rPr>
        <w:color w:val="000000"/>
      </w:rPr>
    </w:pPr>
    <w:r>
      <w:rPr>
        <w:color w:val="000000"/>
      </w:rPr>
      <w:t>(D. Lgs. n. 517/1999 - Art. 3 L.R. Veneto n. 18/2009)</w:t>
    </w:r>
  </w:p>
  <w:tbl>
    <w:tblPr>
      <w:tblW w:w="488.90pt" w:type="dxa"/>
      <w:jc w:val="center"/>
      <w:tblLayout w:type="fixed"/>
      <w:tblLook w:firstRow="0" w:lastRow="0" w:firstColumn="0" w:lastColumn="0" w:noHBand="0" w:noVBand="0"/>
    </w:tblPr>
    <w:tblGrid>
      <w:gridCol w:w="9778"/>
    </w:tblGrid>
    <w:tr w:rsidR="0076557E">
      <w:trPr>
        <w:jc w:val="center"/>
      </w:trPr>
      <w:tc>
        <w:tcPr>
          <w:tcW w:w="488.90pt" w:type="dxa"/>
          <w:tcBorders>
            <w:top w:val="single" w:sz="4" w:space="0" w:color="000000"/>
            <w:bottom w:val="single" w:sz="4" w:space="0" w:color="000000"/>
          </w:tcBorders>
        </w:tcPr>
        <w:p w:rsidR="0076557E" w:rsidRDefault="00441F1E">
          <w:pPr>
            <w:tabs>
              <w:tab w:val="center" w:pos="240.95pt"/>
              <w:tab w:val="end" w:pos="481.90pt"/>
            </w:tabs>
            <w:spacing w:before="3pt" w:after="3pt"/>
            <w:jc w:val="center"/>
            <w:rPr>
              <w:color w:val="000000"/>
            </w:rPr>
          </w:pPr>
          <w:r>
            <w:rPr>
              <w:rFonts w:ascii="Century Gothic" w:eastAsia="Century Gothic" w:hAnsi="Century Gothic" w:cs="Century Gothic"/>
              <w:b/>
              <w:bCs/>
              <w:color w:val="000000"/>
            </w:rPr>
            <w:t>Ufficio Comunicazione Esterna e Stampa</w:t>
          </w:r>
        </w:p>
      </w:tc>
    </w:tr>
  </w:tbl>
  <w:p w:rsidR="0076557E" w:rsidRDefault="0076557E">
    <w:pPr>
      <w:tabs>
        <w:tab w:val="center" w:pos="240.95pt"/>
        <w:tab w:val="end" w:pos="481.90pt"/>
      </w:tabs>
      <w:spacing w:before="3pt" w:after="3pt"/>
      <w:rPr>
        <w:rFonts w:ascii="Century Gothic" w:eastAsia="Century Gothic" w:hAnsi="Century Gothic" w:cs="Century Gothic"/>
        <w:b/>
        <w:bCs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%"/>
  <w:embedTrueTypeFonts/>
  <w:proofState w:spelling="clean" w:grammar="clean"/>
  <w:attachedTemplate r:id="rId1"/>
  <w:defaultTabStop w:val="36pt"/>
  <w:autoHyphenation/>
  <w:hyphenationZone w:val="14.1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33A"/>
    <w:rsid w:val="001D27DD"/>
    <w:rsid w:val="002105FD"/>
    <w:rsid w:val="002A0CB3"/>
    <w:rsid w:val="002B3831"/>
    <w:rsid w:val="00441F1E"/>
    <w:rsid w:val="00494912"/>
    <w:rsid w:val="006B0EC0"/>
    <w:rsid w:val="0076557E"/>
    <w:rsid w:val="00D37CBD"/>
    <w:rsid w:val="00DC08CE"/>
    <w:rsid w:val="00F4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53E5C7"/>
  <w15:docId w15:val="{9CEF2FD3-D276-4326-9591-24AAC59082F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keepLines/>
      <w:spacing w:before="24pt" w:after="6pt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qFormat/>
    <w:pPr>
      <w:keepNext/>
      <w:keepLines/>
      <w:spacing w:before="18pt" w:after="4pt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qFormat/>
    <w:pPr>
      <w:keepNext/>
      <w:keepLines/>
      <w:spacing w:before="14pt" w:after="4pt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qFormat/>
    <w:pPr>
      <w:keepNext/>
      <w:keepLines/>
      <w:spacing w:before="12pt" w:after="2pt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qFormat/>
    <w:pPr>
      <w:keepNext/>
      <w:keepLines/>
      <w:spacing w:before="11pt" w:after="2pt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qFormat/>
    <w:pPr>
      <w:keepNext/>
      <w:keepLines/>
      <w:spacing w:before="10pt" w:after="2pt"/>
      <w:outlineLvl w:val="5"/>
    </w:pPr>
    <w:rPr>
      <w:b/>
      <w:bCs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qFormat/>
    <w:rPr>
      <w:color w:val="000080"/>
      <w:u w:val="single"/>
    </w:rPr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qFormat/>
    <w:pPr>
      <w:keepNext/>
      <w:keepLines/>
      <w:spacing w:before="24pt" w:after="6pt"/>
    </w:pPr>
    <w:rPr>
      <w:b/>
      <w:bCs/>
      <w:sz w:val="72"/>
      <w:szCs w:val="72"/>
    </w:rPr>
  </w:style>
  <w:style w:type="paragraph" w:styleId="Corpotesto">
    <w:name w:val="Body Text"/>
    <w:basedOn w:val="Normale"/>
    <w:pPr>
      <w:spacing w:after="7pt" w:line="13.80pt" w:lineRule="auto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6pt" w:after="6pt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Sottotitolo">
    <w:name w:val="Subtitle"/>
    <w:basedOn w:val="Normale"/>
    <w:next w:val="Normale"/>
    <w:qFormat/>
    <w:pPr>
      <w:spacing w:after="3pt"/>
      <w:jc w:val="center"/>
    </w:pPr>
    <w:rPr>
      <w:rFonts w:ascii="Calibri" w:eastAsia="Calibri" w:hAnsi="Calibri" w:cs="Calibri"/>
      <w:sz w:val="24"/>
      <w:szCs w:val="24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Intestazioneepidipagina"/>
  </w:style>
  <w:style w:type="paragraph" w:styleId="Pidipagina">
    <w:name w:val="footer"/>
    <w:basedOn w:val="Intestazioneepidipagina"/>
  </w:style>
  <w:style w:type="table" w:customStyle="1" w:styleId="TableNormal">
    <w:name w:val="TableNormal"/>
    <w:tblPr>
      <w:tblCellMar>
        <w:top w:w="5pt" w:type="dxa"/>
        <w:start w:w="5pt" w:type="dxa"/>
        <w:bottom w:w="5pt" w:type="dxa"/>
        <w:end w:w="5pt" w:type="dxa"/>
      </w:tblCellMar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802712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29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0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2.xml"/><Relationship Id="rId13" Type="http://purl.oclc.org/ooxml/officeDocument/relationships/fontTable" Target="fontTable.xml"/><Relationship Id="rId3" Type="http://purl.oclc.org/ooxml/officeDocument/relationships/settings" Target="settings.xml"/><Relationship Id="rId7" Type="http://purl.oclc.org/ooxml/officeDocument/relationships/header" Target="header1.xml"/><Relationship Id="rId12" Type="http://purl.oclc.org/ooxml/officeDocument/relationships/footer" Target="footer3.xml"/><Relationship Id="rId2" Type="http://purl.oclc.org/ooxml/officeDocument/relationships/styles" Target="styles.xml"/><Relationship Id="rId1" Type="http://purl.oclc.org/ooxml/officeDocument/relationships/customXml" Target="../customXml/item1.xml"/><Relationship Id="rId6" Type="http://purl.oclc.org/ooxml/officeDocument/relationships/endnotes" Target="endnotes.xml"/><Relationship Id="rId11" Type="http://purl.oclc.org/ooxml/officeDocument/relationships/header" Target="header3.xml"/><Relationship Id="rId5" Type="http://purl.oclc.org/ooxml/officeDocument/relationships/footnotes" Target="footnotes.xml"/><Relationship Id="rId10" Type="http://purl.oclc.org/ooxml/officeDocument/relationships/footer" Target="footer2.xml"/><Relationship Id="rId4" Type="http://purl.oclc.org/ooxml/officeDocument/relationships/webSettings" Target="webSettings.xml"/><Relationship Id="rId9" Type="http://purl.oclc.org/ooxml/officeDocument/relationships/footer" Target="footer1.xml"/><Relationship Id="rId14" Type="http://purl.oclc.org/ooxml/officeDocument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purl.oclc.org/ooxml/officeDocument/relationships/font" Target="fonts/font3.odttf"/><Relationship Id="rId2" Type="http://purl.oclc.org/ooxml/officeDocument/relationships/font" Target="fonts/font2.odttf"/><Relationship Id="rId1" Type="http://purl.oclc.org/ooxml/officeDocument/relationships/font" Target="fonts/font1.odttf"/><Relationship Id="rId4" Type="http://purl.oclc.org/ooxml/officeDocument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purl.oclc.org/ooxml/officeDocument/relationships/hyperlink" Target="mailto:ufficio.stampa@aovr.veneto.it" TargetMode="External"/><Relationship Id="rId1" Type="http://purl.oclc.org/ooxml/officeDocument/relationships/hyperlink" Target="http://www.aovr.veneto.it/" TargetMode="External"/></Relationships>
</file>

<file path=word/_rels/footer3.xml.rels><?xml version="1.0" encoding="UTF-8" standalone="yes"?>
<Relationships xmlns="http://schemas.openxmlformats.org/package/2006/relationships"><Relationship Id="rId2" Type="http://purl.oclc.org/ooxml/officeDocument/relationships/hyperlink" Target="mailto:ufficio.stampa@aovr.veneto.it" TargetMode="External"/><Relationship Id="rId1" Type="http://purl.oclc.org/ooxml/officeDocument/relationships/hyperlink" Target="http://www.aovr.veneto.it/" TargetMode="External"/></Relationships>
</file>

<file path=word/_rels/header2.xml.rels><?xml version="1.0" encoding="UTF-8" standalone="yes"?>
<Relationships xmlns="http://schemas.openxmlformats.org/package/2006/relationships"><Relationship Id="rId2" Type="http://purl.oclc.org/ooxml/officeDocument/relationships/image" Target="media/image2.png"/><Relationship Id="rId1" Type="http://purl.oclc.org/ooxml/officeDocument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purl.oclc.org/ooxml/officeDocument/relationships/image" Target="media/image2.png"/><Relationship Id="rId1" Type="http://purl.oclc.org/ooxml/officeDocument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purl.oclc.org/ooxml/officeDocument/relationships/attachedTemplate" Target="file:///C:\Users\e8006092\Downloads\Campagna%20Nonscuoterlo%202026.dotx" TargetMode="External"/></Relationships>
</file>

<file path=word/theme/theme1.xml><?xml version="1.0" encoding="utf-8"?>
<a:theme xmlns:a="http://purl.oclc.org/ooxml/drawingml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%">
              <a:schemeClr val="phClr">
                <a:tint val="50%"/>
              </a:schemeClr>
            </a:gs>
            <a:gs pos="35%">
              <a:schemeClr val="phClr">
                <a:tint val="37%"/>
              </a:schemeClr>
            </a:gs>
            <a:gs pos="100%">
              <a:schemeClr val="phClr">
                <a:tint val="15%"/>
              </a:schemeClr>
            </a:gs>
          </a:gsLst>
          <a:lin ang="16200000" scaled="1"/>
          <a:tileRect/>
        </a:gradFill>
        <a:gradFill>
          <a:gsLst>
            <a:gs pos="0%">
              <a:schemeClr val="phClr">
                <a:tint val="100%"/>
                <a:shade val="100%"/>
              </a:schemeClr>
            </a:gs>
            <a:gs pos="100%">
              <a:schemeClr val="phClr">
                <a:tint val="50%"/>
                <a:shade val="100%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</a:schemeClr>
            </a:gs>
            <a:gs pos="40%">
              <a:schemeClr val="phClr">
                <a:tint val="45%"/>
                <a:shade val="99%"/>
              </a:schemeClr>
            </a:gs>
            <a:gs pos="100%">
              <a:schemeClr val="phClr">
                <a:shade val="20%"/>
              </a:schemeClr>
            </a:gs>
          </a:gsLst>
          <a:path path="circle">
            <a:fillToRect l="50%" t="-80%" r="50%" b="180%"/>
          </a:path>
          <a:tileRect/>
        </a:gradFill>
        <a:gradFill>
          <a:gsLst>
            <a:gs pos="0%">
              <a:schemeClr val="phClr">
                <a:tint val="80%"/>
              </a:schemeClr>
            </a:gs>
            <a:gs pos="100%">
              <a:schemeClr val="phClr">
                <a:shade val="30%"/>
              </a:schemeClr>
            </a:gs>
          </a:gsLst>
          <a:path path="circle">
            <a:fillToRect l="50%" t="50%" r="50%" b="50%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jU1HFSnInYFS1znugpoyAz0ROVQ==">CgMxLjA4AHIhMTUtQUs2bEpHSm5EME9wRE9PekRleUQ5U3oxempheGRa</go:docsCustomData>
</go:gDocsCustomXmlDataStorage>
</file>

<file path=customXml/itemProps1.xml><?xml version="1.0" encoding="utf-8"?>
<ds:datastoreItem xmlns:ds="http://purl.oclc.org/ooxml/officeDocument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Campagna Nonscuoterlo 2026.dotx</Template>
  <TotalTime>72</TotalTime>
  <Pages>3</Pages>
  <Words>1169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AOUI</Company>
  <LinksUpToDate>false</LinksUpToDate>
  <CharactersWithSpaces>7819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 BALDO</dc:creator>
  <cp:lastModifiedBy>MIRELLA GOBBI SPROCAGNOCCHI</cp:lastModifiedBy>
  <cp:revision>2</cp:revision>
  <dcterms:created xsi:type="dcterms:W3CDTF">2026-04-10T07:11:00Z</dcterms:created>
  <dcterms:modified xsi:type="dcterms:W3CDTF">2026-04-10T10:58:00Z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2026-04-08T14:30:00Z</dcterms:created>
  <dc:creator/>
  <dc:description/>
  <dc:language>it-IT</dc:language>
  <cp:lastModifiedBy/>
  <cp:lastPrinted>2026-04-09T18:00:10Z</cp:lastPrinted>
  <dcterms:modified xsi:type="dcterms:W3CDTF">2026-04-09T16:49:10Z</dcterms:modified>
  <cp:revision>4</cp:revision>
  <dc:subject/>
  <dc:title/>
</cp:coreProperties>
</file>