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F1D865" w14:textId="16592D7A" w:rsidR="000660BF" w:rsidRDefault="00DC5946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Neuroriabilitazione</w:t>
      </w:r>
      <w:r w:rsidR="00731205">
        <w:rPr>
          <w:rFonts w:ascii="Century Gothic" w:hAnsi="Century Gothic"/>
          <w:b/>
          <w:bCs/>
          <w:kern w:val="2"/>
          <w:sz w:val="28"/>
          <w:szCs w:val="28"/>
        </w:rPr>
        <w:t xml:space="preserve"> avanzata</w:t>
      </w:r>
      <w:r>
        <w:rPr>
          <w:rFonts w:ascii="Century Gothic" w:hAnsi="Century Gothic"/>
          <w:b/>
          <w:bCs/>
          <w:kern w:val="2"/>
          <w:sz w:val="28"/>
          <w:szCs w:val="28"/>
        </w:rPr>
        <w:t>: non solo motoria, anche sensoriale ed emotiva</w:t>
      </w:r>
    </w:p>
    <w:p w14:paraId="7B6D6790" w14:textId="77777777" w:rsidR="00DC5946" w:rsidRDefault="00DC5946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34F394C6" w14:textId="09520D9A" w:rsidR="000660BF" w:rsidRDefault="00EB4E86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A </w:t>
      </w:r>
      <w:r w:rsidRPr="00EB4E86">
        <w:rPr>
          <w:rFonts w:ascii="Century Gothic" w:hAnsi="Century Gothic"/>
          <w:b/>
          <w:bCs/>
          <w:kern w:val="2"/>
          <w:sz w:val="28"/>
          <w:szCs w:val="28"/>
        </w:rPr>
        <w:t xml:space="preserve">Verona </w:t>
      </w:r>
      <w:r>
        <w:rPr>
          <w:rFonts w:ascii="Century Gothic" w:hAnsi="Century Gothic"/>
          <w:b/>
          <w:bCs/>
          <w:kern w:val="2"/>
          <w:sz w:val="28"/>
          <w:szCs w:val="28"/>
        </w:rPr>
        <w:t>il congresso nazionale. Dopo</w:t>
      </w:r>
      <w:r w:rsidR="00731205">
        <w:rPr>
          <w:rFonts w:ascii="Century Gothic" w:hAnsi="Century Gothic"/>
          <w:b/>
          <w:bCs/>
          <w:kern w:val="2"/>
          <w:sz w:val="28"/>
          <w:szCs w:val="28"/>
        </w:rPr>
        <w:t xml:space="preserve"> le</w:t>
      </w: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 malattie neurologiche r</w:t>
      </w:r>
      <w:r w:rsidRPr="00EB4E86">
        <w:rPr>
          <w:rFonts w:ascii="Century Gothic" w:hAnsi="Century Gothic"/>
          <w:b/>
          <w:bCs/>
          <w:kern w:val="2"/>
          <w:sz w:val="28"/>
          <w:szCs w:val="28"/>
        </w:rPr>
        <w:t>ec</w:t>
      </w:r>
      <w:r>
        <w:rPr>
          <w:rFonts w:ascii="Century Gothic" w:hAnsi="Century Gothic"/>
          <w:b/>
          <w:bCs/>
          <w:kern w:val="2"/>
          <w:sz w:val="28"/>
          <w:szCs w:val="28"/>
        </w:rPr>
        <w:t>upero delle funzioni cognitive e i</w:t>
      </w:r>
      <w:r w:rsidRPr="00EB4E86">
        <w:rPr>
          <w:rFonts w:ascii="Century Gothic" w:hAnsi="Century Gothic"/>
          <w:b/>
          <w:bCs/>
          <w:kern w:val="2"/>
          <w:sz w:val="28"/>
          <w:szCs w:val="28"/>
        </w:rPr>
        <w:t xml:space="preserve">ntegrazione </w:t>
      </w:r>
      <w:r>
        <w:rPr>
          <w:rFonts w:ascii="Century Gothic" w:hAnsi="Century Gothic"/>
          <w:b/>
          <w:bCs/>
          <w:kern w:val="2"/>
          <w:sz w:val="28"/>
          <w:szCs w:val="28"/>
        </w:rPr>
        <w:t>tecnologica avanzata</w:t>
      </w:r>
    </w:p>
    <w:p w14:paraId="7A7B105F" w14:textId="77777777" w:rsidR="000660BF" w:rsidRPr="00755F11" w:rsidRDefault="000660BF" w:rsidP="00B6215F">
      <w:pPr>
        <w:jc w:val="center"/>
      </w:pPr>
    </w:p>
    <w:p w14:paraId="63974203" w14:textId="77777777" w:rsidR="00E57256" w:rsidRDefault="00E57256" w:rsidP="00E57256"/>
    <w:p w14:paraId="3CCC54B7" w14:textId="77777777" w:rsidR="00E57256" w:rsidRDefault="00E57256" w:rsidP="00E57256"/>
    <w:p w14:paraId="36082373" w14:textId="773B65F8" w:rsidR="00541E00" w:rsidRDefault="00E57256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8C547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B269B4">
        <w:rPr>
          <w:rFonts w:ascii="Century Gothic" w:hAnsi="Century Gothic" w:cs="Century Gothic"/>
          <w:kern w:val="2"/>
          <w:sz w:val="24"/>
          <w:szCs w:val="24"/>
        </w:rPr>
        <w:t xml:space="preserve">9 maggio </w:t>
      </w:r>
      <w:r w:rsidR="00131B5A">
        <w:rPr>
          <w:rFonts w:ascii="Century Gothic" w:hAnsi="Century Gothic" w:cs="Century Gothic"/>
          <w:kern w:val="2"/>
          <w:sz w:val="24"/>
          <w:szCs w:val="24"/>
        </w:rPr>
        <w:t>202</w:t>
      </w:r>
      <w:r>
        <w:rPr>
          <w:rFonts w:ascii="Century Gothic" w:hAnsi="Century Gothic" w:cs="Century Gothic"/>
          <w:kern w:val="2"/>
          <w:sz w:val="24"/>
          <w:szCs w:val="24"/>
        </w:rPr>
        <w:t>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189F09F1" w14:textId="0A50C293" w:rsidR="001D0DDD" w:rsidRPr="00A6046B" w:rsidRDefault="006D0750" w:rsidP="001D0DDD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Recuperare attenzione</w:t>
      </w:r>
      <w:r w:rsid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percezione corporea, </w:t>
      </w:r>
      <w:r w:rsid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>ma il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controllo cognitivo</w:t>
      </w:r>
      <w:r w:rsid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memoria spaziale </w:t>
      </w:r>
      <w:r w:rsid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>per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relazionarsi con l’ambiente. La riabilitazione da ictus, trauma cranico, Parkinson, sclerosi multipla</w:t>
      </w:r>
      <w:r w:rsidR="001D0DD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malattie neurodegenerative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non </w:t>
      </w:r>
      <w:r w:rsid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significa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solo recuperare il movimento. </w:t>
      </w:r>
      <w:r w:rsid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C’è molto altro, </w:t>
      </w:r>
      <w:r w:rsidR="00A6046B" w:rsidRPr="00A6046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tutti aspetti </w:t>
      </w:r>
      <w:r w:rsidR="001D0DDD" w:rsidRPr="00A6046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che influenzano profondamente l’autonomia della persona nella vita quotidiana e che, fino a pochi anni fa, venivano spesso sottovalutati </w:t>
      </w:r>
      <w:r w:rsid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>concentrandosi principalmente su</w:t>
      </w:r>
      <w:r w:rsidR="001D0DDD" w:rsidRPr="00A6046B">
        <w:rPr>
          <w:rFonts w:ascii="Century Gothic" w:eastAsia="Calibri" w:hAnsi="Century Gothic"/>
          <w:kern w:val="2"/>
          <w:sz w:val="24"/>
          <w:szCs w:val="24"/>
          <w:lang w:eastAsia="en-US"/>
        </w:rPr>
        <w:t>l deficit motorio.</w:t>
      </w:r>
    </w:p>
    <w:p w14:paraId="12F6A557" w14:textId="77777777" w:rsidR="00731205" w:rsidRDefault="00731205" w:rsidP="00EA34C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93E66EB" w14:textId="733A1B24" w:rsidR="00EA34CA" w:rsidRDefault="00EA34CA" w:rsidP="00EA34C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Questo approccio innovativo è </w:t>
      </w:r>
      <w:r w:rsidR="00EB4E8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quello adottato nella ricerca e assistenza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in Azienda ospedaliera con l’Università di Verona</w:t>
      </w:r>
      <w:r w:rsidR="001D0DDD">
        <w:rPr>
          <w:rFonts w:ascii="Century Gothic" w:eastAsia="Calibri" w:hAnsi="Century Gothic"/>
          <w:kern w:val="2"/>
          <w:sz w:val="24"/>
          <w:szCs w:val="24"/>
          <w:lang w:eastAsia="en-US"/>
        </w:rPr>
        <w:t>. L’</w:t>
      </w:r>
      <w:proofErr w:type="spellStart"/>
      <w:r w:rsidR="001D0DDD"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 w:rsidR="001D0DD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Neuroriabilitazione, diretta dal prof. Nicola Smania,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1D0DD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rappresenta oggi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uno dei principali poli italiani nella neuroriabilitazione avanzata.</w:t>
      </w:r>
    </w:p>
    <w:p w14:paraId="1730205A" w14:textId="2C55E24E" w:rsidR="00731205" w:rsidRDefault="00731205" w:rsidP="00EA34C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24EE2B14" w14:textId="598789F9" w:rsidR="00731205" w:rsidRPr="00731205" w:rsidRDefault="00731205" w:rsidP="00731205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731205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Il congresso a Verona. </w:t>
      </w:r>
      <w:r w:rsidRP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domani e fino </w:t>
      </w:r>
      <w:r w:rsidRP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 12 maggio 2026, Verona ospiterà il XXV Congresso Nazionale della Società Italiana di Riabilitazione Neurologica (SIRN), intitolato “Brain and Body Together </w:t>
      </w:r>
      <w:proofErr w:type="spellStart"/>
      <w:r w:rsidRP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>Again</w:t>
      </w:r>
      <w:proofErr w:type="spellEnd"/>
      <w:r w:rsidRPr="00731205">
        <w:rPr>
          <w:rFonts w:ascii="Century Gothic" w:eastAsia="Calibri" w:hAnsi="Century Gothic"/>
          <w:kern w:val="2"/>
          <w:sz w:val="24"/>
          <w:szCs w:val="24"/>
          <w:lang w:eastAsia="en-US"/>
        </w:rPr>
        <w:t>: il futuro della neuroriabilitazione”. L'evento, che riunirà centinaia di professionisti tra medici, terapisti, ricercatori e ingegneri, si configura come uno dei principali appuntamenti scientifici per discutere le innovazioni nella cura di patologie come ictus, Parkinson e sclerosi multipla. Di queste sfide e nuove frontiere della neuroriabilitazione si è parlato nel congresso, sottolineando come la disciplina stia evolvendo verso un approccio globale alla persona che integra neuroscienze, tecnologia e percorsi personalizzati per aiutare il cervello a ricostruire le proprie funzioni.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Il presidente del congresso è il prof Alessandro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Picelli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Neuroriabilitazione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="00991FA4">
        <w:rPr>
          <w:rFonts w:ascii="Century Gothic" w:eastAsia="Calibri" w:hAnsi="Century Gothic"/>
          <w:kern w:val="2"/>
          <w:sz w:val="24"/>
          <w:szCs w:val="24"/>
          <w:lang w:eastAsia="en-US"/>
        </w:rPr>
        <w:t>. Fra gli interventi</w:t>
      </w:r>
      <w:bookmarkStart w:id="0" w:name="_GoBack"/>
      <w:bookmarkEnd w:id="0"/>
      <w:r w:rsidR="00991FA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anche la dott.ssa Valentina </w:t>
      </w:r>
      <w:proofErr w:type="spellStart"/>
      <w:r w:rsidR="00991FA4">
        <w:rPr>
          <w:rFonts w:ascii="Century Gothic" w:eastAsia="Calibri" w:hAnsi="Century Gothic"/>
          <w:kern w:val="2"/>
          <w:sz w:val="24"/>
          <w:szCs w:val="24"/>
          <w:lang w:eastAsia="en-US"/>
        </w:rPr>
        <w:t>Varalta</w:t>
      </w:r>
      <w:proofErr w:type="spellEnd"/>
      <w:r w:rsidR="00991FA4">
        <w:rPr>
          <w:rFonts w:ascii="Century Gothic" w:eastAsia="Calibri" w:hAnsi="Century Gothic"/>
          <w:kern w:val="2"/>
          <w:sz w:val="24"/>
          <w:szCs w:val="24"/>
          <w:lang w:eastAsia="en-US"/>
        </w:rPr>
        <w:t>, psicologa esperta in riabilitazione cognitiva.</w:t>
      </w:r>
    </w:p>
    <w:p w14:paraId="2A5EEA97" w14:textId="41AFBA6F" w:rsidR="006D0750" w:rsidRDefault="006D0750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7DB58CC" w14:textId="57C1C7E3" w:rsidR="0045330F" w:rsidRPr="0045330F" w:rsidRDefault="001D0DDD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Neuroriabilitazione: non solo muscoli</w:t>
      </w:r>
      <w:r w:rsidR="00211E79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.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Quando si pensa a un paziente colpito da ictus o trauma cranico,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ci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si immagina una persona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con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paralisi agli arti.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realtà,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lastRenderedPageBreak/>
        <w:t>dietro la difficoltà motoria possono nascondersi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condizioni molto più complesse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paziente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può non riuscire a utilizzare correttamente una mano non solo per debolezza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muscolare, ma anche per difficoltà di integrazione sensoriale, alterazioni della percezione dello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spazio, disturbi </w:t>
      </w:r>
      <w:proofErr w:type="spellStart"/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attentivi</w:t>
      </w:r>
      <w:proofErr w:type="spellEnd"/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, problemi cognitivi o incapacità di pianificare correttamente un’azione.</w:t>
      </w:r>
    </w:p>
    <w:p w14:paraId="7C55B761" w14:textId="3D8FC5CE" w:rsidR="0045330F" w:rsidRPr="0045330F" w:rsidRDefault="00536E06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La riabilitazione cognitiva non riguarda soltanto la memoria o il linguaggio.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Le moderne neuroscienze mostrano infatti che anche un gesto apparentemente semplice – come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afferrare un bicchiere d’acqua – richiede una straordinaria integrazione tra motivazione,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percezione visiva, rappresentazione dello spazio, sensibilità corporea, pianificazione motoria ed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esecuzione del movimento.</w:t>
      </w:r>
    </w:p>
    <w:p w14:paraId="1176EB72" w14:textId="77777777" w:rsidR="00EA34CA" w:rsidRPr="0045330F" w:rsidRDefault="00EA34CA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12AF15C" w14:textId="1F12FCFC" w:rsidR="0045330F" w:rsidRPr="0045330F" w:rsidRDefault="0045330F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EA34C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Spasticità: sfid</w:t>
      </w:r>
      <w:r w:rsidR="003D19E7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a </w:t>
      </w:r>
      <w:proofErr w:type="spellStart"/>
      <w:r w:rsidR="003D19E7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neuroriabilitativa</w:t>
      </w:r>
      <w:proofErr w:type="spellEnd"/>
      <w:r w:rsidR="003D19E7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. 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>La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spasticità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è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uno dei problemi più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frequenti e invalidanti 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 seguito di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lesioni neurologiche.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rovoca rigidità muscolare, posture anomale, dolore e difficoltà nei movimenti. Può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comparire dopo ictus, paralisi cerebrali infantili, sclerosi multipla, trauma cranico o lesioni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midollari.</w:t>
      </w:r>
    </w:p>
    <w:p w14:paraId="166382F6" w14:textId="6A4CE7A9" w:rsidR="0045330F" w:rsidRPr="0045330F" w:rsidRDefault="0045330F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Negli ultimi anni il trattamento della spasticità si è profondamente evoluto grazie all’integrazione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di tecniche farmacologiche, infiltrative, riabilitative e tecnologiche.</w:t>
      </w:r>
    </w:p>
    <w:p w14:paraId="00F3B37C" w14:textId="77777777" w:rsidR="00EA34CA" w:rsidRPr="0045330F" w:rsidRDefault="00EA34CA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250BD72" w14:textId="35938CA4" w:rsidR="0045330F" w:rsidRPr="00A6046B" w:rsidRDefault="003D19E7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Realtà virtuale, robotica, IA. 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Vengono introdotte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tecnologie sempre più sofisticate nella valutazione e nel trattamento delle disfunzioni</w:t>
      </w:r>
      <w:r w:rsidR="00211E7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neurologiche.</w:t>
      </w:r>
      <w:r w:rsidR="00A6046B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Robotica, realtà virtuale, sensori di movimento, analisi computerizzata del cammino, piattaforme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digitali e intelligen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za artificiale stanno cambiando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il modo di valutare e trattare 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pazienti neurologici.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Questi sistemi non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sostituiscono il lavoro clinico dei professionisti, ma permettono di: misurare i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>n maniera più precisa i deficit,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personalizzare gli esercizi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moni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torare il recupero nel tempo,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aumentare</w:t>
      </w:r>
      <w:r w:rsidR="00536E06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l’intensità del trattamento e </w:t>
      </w:r>
      <w:r w:rsidR="0045330F"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migliorare la motivazione del paziente.</w:t>
      </w:r>
    </w:p>
    <w:p w14:paraId="56119BD7" w14:textId="74BB0045" w:rsidR="0045330F" w:rsidRPr="0045330F" w:rsidRDefault="0045330F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La realtà virtuale, per esempio, consente di creare ambienti immersivi in cui il paziente può</w:t>
      </w:r>
      <w:r w:rsidR="003D19E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allenare equilibrio, attenzione, movimento e percezione spaziale in situazioni molto simili alla vita</w:t>
      </w:r>
      <w:r w:rsidR="003D19E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reale.</w:t>
      </w:r>
    </w:p>
    <w:p w14:paraId="3F51A326" w14:textId="24D64C71" w:rsidR="0045330F" w:rsidRDefault="0045330F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L’intelligenza artificiale e </w:t>
      </w:r>
      <w:proofErr w:type="gramStart"/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il machine</w:t>
      </w:r>
      <w:proofErr w:type="gramEnd"/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learning 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 possono utilizzare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per</w:t>
      </w:r>
      <w:r w:rsidR="003D19E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analizzare grandi quantità di dati clinici e individuare i percorsi riabilitativi più adatti ai diversi</w:t>
      </w:r>
      <w:r w:rsidR="00BC4B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pazienti.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Anche la </w:t>
      </w:r>
      <w:proofErr w:type="spellStart"/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teleriabilitazione</w:t>
      </w:r>
      <w:proofErr w:type="spellEnd"/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è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oggi una realtà concreta: alcuni programmi permettono</w:t>
      </w:r>
      <w:r w:rsidR="003D19E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infatti di proseguire parte del trattamento direttamente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da casa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, mantenendo il collegamento</w:t>
      </w:r>
      <w:r w:rsidR="003D19E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con il centro specialistico.</w:t>
      </w:r>
    </w:p>
    <w:p w14:paraId="57642A40" w14:textId="77777777" w:rsidR="00EA34CA" w:rsidRPr="0045330F" w:rsidRDefault="00EA34CA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775AF6F8" w14:textId="2C078205" w:rsidR="0045330F" w:rsidRPr="0045330F" w:rsidRDefault="0045330F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EA34C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Neuro-oncologia ri</w:t>
      </w:r>
      <w:r w:rsidR="003D19E7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abilitativa. </w:t>
      </w:r>
      <w:proofErr w:type="gramStart"/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>E’</w:t>
      </w:r>
      <w:proofErr w:type="gramEnd"/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uno degli ambiti emergenti più importanti.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Sempre più pazienti con tumori cerebrali, grazie ai progressi della neurochirurgia e delle terapie</w:t>
      </w:r>
      <w:r w:rsidR="00BC4B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oncologiche, sopravvivono più a lungo e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necessitano di percorsi riabilitativi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lastRenderedPageBreak/>
        <w:t>specialistici.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Le problematiche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che ne derivano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possono riguardare: 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movimento,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equilibrio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linguaggio,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funzioni cognitive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deglutizione</w:t>
      </w:r>
      <w:r w:rsidR="00B269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autonomia quotidiana.</w:t>
      </w:r>
    </w:p>
    <w:p w14:paraId="0E0F4C5B" w14:textId="6FE69294" w:rsidR="0045330F" w:rsidRDefault="0045330F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La neuroriabilitazione moderna permette oggi di intervenire precocemente anche in questi</w:t>
      </w:r>
      <w:r w:rsidR="00BC4B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pazienti, migliorando qualità della vita, autonomia e possibilità di reinserimento sociale.</w:t>
      </w:r>
      <w:r w:rsidR="00BC4B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Verona sta sviluppando in questo settore percorsi multidisciplinari che integrano</w:t>
      </w:r>
      <w:r w:rsidR="00BC4B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neuroriabilitazione, neuropsicologia, logopedia, fisioterapia e competenze neurologiche e</w:t>
      </w:r>
      <w:r w:rsidR="00BC4B0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oncologiche avanzate.</w:t>
      </w:r>
    </w:p>
    <w:p w14:paraId="39546CFC" w14:textId="77777777" w:rsidR="00EA34CA" w:rsidRDefault="00EA34CA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6373BE9F" w14:textId="77777777" w:rsidR="001D0DDD" w:rsidRDefault="001D0DDD" w:rsidP="001D0DDD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proofErr w:type="spellStart"/>
      <w:r w:rsidRPr="003D19E7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Aoui</w:t>
      </w:r>
      <w:proofErr w:type="spellEnd"/>
      <w:r w:rsidRPr="003D19E7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centro di riferimento.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Negli ultimi anni Verona ha sviluppato particolare esperienza nella riabilitazione cognitiva dei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pazienti neurologici complessi, un ambito oggi considerato fondamentale.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è infatti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uno dei centri italiani più attivi nell’integrazione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tra neuroscienze, clinica, tecnologia e innovazione organizzativa.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Inoltre l’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Neuroriabilitazione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rappresenta uno </w:t>
      </w:r>
      <w:proofErr w:type="spellStart"/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de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glu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hub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di riferimento regionali e nazionali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nel trattamento della spasticità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, grazie a percorsi multidisciplinari ch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 integrano: tossina botulinica, tecniche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ecoguidate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riabilitazione intensiva,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trattamento fisioterapico specialistico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tecnologie robotiche e sistemi di valutazione strumentale.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Un lavoro costruito negli anni attraverso la collaborazione tra Azienda Ospedaliera, Università di Verona e professionisti altamente specializzati, con l’obiettivo di offrire ai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45330F">
        <w:rPr>
          <w:rFonts w:ascii="Century Gothic" w:eastAsia="Calibri" w:hAnsi="Century Gothic"/>
          <w:kern w:val="2"/>
          <w:sz w:val="24"/>
          <w:szCs w:val="24"/>
          <w:lang w:eastAsia="en-US"/>
        </w:rPr>
        <w:t>pazienti neurologici percorsi sempre più avanzati, personalizzati e multidisciplinari.</w:t>
      </w:r>
    </w:p>
    <w:p w14:paraId="69DE0B63" w14:textId="77777777" w:rsidR="001D0DDD" w:rsidRPr="0045330F" w:rsidRDefault="001D0DDD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DAAF4C2" w14:textId="738F5CB2" w:rsidR="00A6046B" w:rsidRDefault="00A6046B" w:rsidP="006B1F1C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A6046B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Prof. Nicola Smania, direttore </w:t>
      </w:r>
      <w:proofErr w:type="spellStart"/>
      <w:r w:rsidRPr="00A6046B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Uoc</w:t>
      </w:r>
      <w:proofErr w:type="spellEnd"/>
      <w:r w:rsidRPr="00A6046B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Neuroriabilitazione: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“Per molto tempo </w:t>
      </w:r>
      <w:r w:rsidRPr="00A6046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la riabilitazione neurologica è stata vista prevalentemente come un insieme di tecniche rivolte al recupero del movimento dopo un danno cerebrale o midollare. Oggi invece le neuroscienze hanno dimostrato che il movimento umano è il risultato dell’interazione continua tra sistemi motori, sensoriali, cognitivi ed emotivi. La riabilitazione neurologica non è più soltanto 'far recuperare il </w:t>
      </w:r>
      <w:proofErr w:type="spellStart"/>
      <w:r w:rsidRPr="00A6046B">
        <w:rPr>
          <w:rFonts w:ascii="Century Gothic" w:eastAsia="Calibri" w:hAnsi="Century Gothic"/>
          <w:kern w:val="2"/>
          <w:sz w:val="24"/>
          <w:szCs w:val="24"/>
          <w:lang w:eastAsia="en-US"/>
        </w:rPr>
        <w:t>movimento'</w:t>
      </w:r>
      <w:proofErr w:type="spellEnd"/>
      <w:r w:rsidRPr="00A6046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ma aiutare il cervello a ricostruire le proprie funzioni attraverso un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approccio globale alla persona”. </w:t>
      </w:r>
    </w:p>
    <w:p w14:paraId="7E07C023" w14:textId="5CE020FC" w:rsidR="001D0DDD" w:rsidRDefault="001D0DDD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1D5E3DD7" w14:textId="778AB41D" w:rsidR="00B269B4" w:rsidRDefault="00B269B4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1F2CA5F6" w14:textId="77777777" w:rsidR="00B269B4" w:rsidRDefault="00B269B4" w:rsidP="0045330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B269B4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49C1B" w14:textId="77777777" w:rsidR="009F5FDA" w:rsidRDefault="009F5FDA">
      <w:r>
        <w:separator/>
      </w:r>
    </w:p>
  </w:endnote>
  <w:endnote w:type="continuationSeparator" w:id="0">
    <w:p w14:paraId="55C54C8F" w14:textId="77777777" w:rsidR="009F5FDA" w:rsidRDefault="009F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9F5FDA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323AEF5F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EB4E86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8743E" w14:textId="77777777" w:rsidR="009F5FDA" w:rsidRDefault="009F5FDA">
      <w:r>
        <w:separator/>
      </w:r>
    </w:p>
  </w:footnote>
  <w:footnote w:type="continuationSeparator" w:id="0">
    <w:p w14:paraId="1B634D10" w14:textId="77777777" w:rsidR="009F5FDA" w:rsidRDefault="009F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87255"/>
    <w:rsid w:val="000972EB"/>
    <w:rsid w:val="000A5B85"/>
    <w:rsid w:val="000B2E1D"/>
    <w:rsid w:val="000B2EB4"/>
    <w:rsid w:val="000D1844"/>
    <w:rsid w:val="000F4393"/>
    <w:rsid w:val="000F5FA6"/>
    <w:rsid w:val="000F75FE"/>
    <w:rsid w:val="001074C9"/>
    <w:rsid w:val="00126DB0"/>
    <w:rsid w:val="00131701"/>
    <w:rsid w:val="00131B5A"/>
    <w:rsid w:val="00135077"/>
    <w:rsid w:val="00142FEC"/>
    <w:rsid w:val="00150CB8"/>
    <w:rsid w:val="00163EF3"/>
    <w:rsid w:val="00171491"/>
    <w:rsid w:val="00186FDF"/>
    <w:rsid w:val="00195263"/>
    <w:rsid w:val="001A34F6"/>
    <w:rsid w:val="001B222B"/>
    <w:rsid w:val="001B3A4C"/>
    <w:rsid w:val="001C0E3D"/>
    <w:rsid w:val="001C1E8B"/>
    <w:rsid w:val="001C4E07"/>
    <w:rsid w:val="001D0DDD"/>
    <w:rsid w:val="001D6619"/>
    <w:rsid w:val="001E6E94"/>
    <w:rsid w:val="00211E79"/>
    <w:rsid w:val="0021265E"/>
    <w:rsid w:val="00220E80"/>
    <w:rsid w:val="00232800"/>
    <w:rsid w:val="00251022"/>
    <w:rsid w:val="00256D92"/>
    <w:rsid w:val="0026507D"/>
    <w:rsid w:val="00281D76"/>
    <w:rsid w:val="002955DF"/>
    <w:rsid w:val="002A6D44"/>
    <w:rsid w:val="002B0FD3"/>
    <w:rsid w:val="002B5517"/>
    <w:rsid w:val="002C439C"/>
    <w:rsid w:val="002C79A3"/>
    <w:rsid w:val="002D1BC7"/>
    <w:rsid w:val="002D5DFA"/>
    <w:rsid w:val="002E309A"/>
    <w:rsid w:val="00304E1B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49E3"/>
    <w:rsid w:val="003A0AA8"/>
    <w:rsid w:val="003B17E5"/>
    <w:rsid w:val="003C7B4E"/>
    <w:rsid w:val="003D19E7"/>
    <w:rsid w:val="003F7BAD"/>
    <w:rsid w:val="00426A95"/>
    <w:rsid w:val="004339E2"/>
    <w:rsid w:val="00434B3E"/>
    <w:rsid w:val="00435984"/>
    <w:rsid w:val="00435D36"/>
    <w:rsid w:val="00447C91"/>
    <w:rsid w:val="0045330F"/>
    <w:rsid w:val="004642C6"/>
    <w:rsid w:val="00467D83"/>
    <w:rsid w:val="00471005"/>
    <w:rsid w:val="00472792"/>
    <w:rsid w:val="00472A5B"/>
    <w:rsid w:val="00473C29"/>
    <w:rsid w:val="00476FB4"/>
    <w:rsid w:val="00492133"/>
    <w:rsid w:val="004962E5"/>
    <w:rsid w:val="004C3357"/>
    <w:rsid w:val="004E54B1"/>
    <w:rsid w:val="00500082"/>
    <w:rsid w:val="005014B8"/>
    <w:rsid w:val="00510E3E"/>
    <w:rsid w:val="0051496B"/>
    <w:rsid w:val="0052520E"/>
    <w:rsid w:val="00536E06"/>
    <w:rsid w:val="00541E00"/>
    <w:rsid w:val="00542020"/>
    <w:rsid w:val="00553B6F"/>
    <w:rsid w:val="005557B7"/>
    <w:rsid w:val="00556ED6"/>
    <w:rsid w:val="00561232"/>
    <w:rsid w:val="00566947"/>
    <w:rsid w:val="0057595C"/>
    <w:rsid w:val="005778AA"/>
    <w:rsid w:val="00590417"/>
    <w:rsid w:val="00595025"/>
    <w:rsid w:val="005A1D34"/>
    <w:rsid w:val="005C6023"/>
    <w:rsid w:val="005E3FFF"/>
    <w:rsid w:val="005E4D16"/>
    <w:rsid w:val="005F3128"/>
    <w:rsid w:val="0060241B"/>
    <w:rsid w:val="00603F95"/>
    <w:rsid w:val="0060627C"/>
    <w:rsid w:val="00612389"/>
    <w:rsid w:val="006213F7"/>
    <w:rsid w:val="00626CD5"/>
    <w:rsid w:val="00644AEC"/>
    <w:rsid w:val="006467E4"/>
    <w:rsid w:val="00650510"/>
    <w:rsid w:val="00655D4D"/>
    <w:rsid w:val="00661363"/>
    <w:rsid w:val="00665EC3"/>
    <w:rsid w:val="00694E7C"/>
    <w:rsid w:val="006A0F88"/>
    <w:rsid w:val="006A21A2"/>
    <w:rsid w:val="006B16A8"/>
    <w:rsid w:val="006B1D75"/>
    <w:rsid w:val="006B1F1C"/>
    <w:rsid w:val="006B3F2B"/>
    <w:rsid w:val="006B63A7"/>
    <w:rsid w:val="006C191D"/>
    <w:rsid w:val="006C3A76"/>
    <w:rsid w:val="006C5801"/>
    <w:rsid w:val="006C5A3D"/>
    <w:rsid w:val="006D0750"/>
    <w:rsid w:val="006F297B"/>
    <w:rsid w:val="006F493E"/>
    <w:rsid w:val="00700B07"/>
    <w:rsid w:val="00701E98"/>
    <w:rsid w:val="0070381B"/>
    <w:rsid w:val="00703D50"/>
    <w:rsid w:val="00707657"/>
    <w:rsid w:val="00713A61"/>
    <w:rsid w:val="00713DD1"/>
    <w:rsid w:val="00726A76"/>
    <w:rsid w:val="00731205"/>
    <w:rsid w:val="00731C76"/>
    <w:rsid w:val="00732B7F"/>
    <w:rsid w:val="00734DF2"/>
    <w:rsid w:val="00736EE7"/>
    <w:rsid w:val="00741D85"/>
    <w:rsid w:val="00776148"/>
    <w:rsid w:val="00783AB7"/>
    <w:rsid w:val="007A2E1C"/>
    <w:rsid w:val="007B4F28"/>
    <w:rsid w:val="007B545E"/>
    <w:rsid w:val="007D1651"/>
    <w:rsid w:val="007D1C63"/>
    <w:rsid w:val="007D2F89"/>
    <w:rsid w:val="007D4E55"/>
    <w:rsid w:val="007E1D87"/>
    <w:rsid w:val="007E342D"/>
    <w:rsid w:val="007E5444"/>
    <w:rsid w:val="007F318B"/>
    <w:rsid w:val="007F70C6"/>
    <w:rsid w:val="0080618A"/>
    <w:rsid w:val="00811322"/>
    <w:rsid w:val="0081167A"/>
    <w:rsid w:val="00821C9B"/>
    <w:rsid w:val="00832A0A"/>
    <w:rsid w:val="008333A8"/>
    <w:rsid w:val="008430AC"/>
    <w:rsid w:val="008521E4"/>
    <w:rsid w:val="00861987"/>
    <w:rsid w:val="0086411B"/>
    <w:rsid w:val="00864AF0"/>
    <w:rsid w:val="008806E4"/>
    <w:rsid w:val="00894F8F"/>
    <w:rsid w:val="00896BFB"/>
    <w:rsid w:val="008A1F74"/>
    <w:rsid w:val="008C5476"/>
    <w:rsid w:val="008F0A38"/>
    <w:rsid w:val="00904ED4"/>
    <w:rsid w:val="00910F3B"/>
    <w:rsid w:val="009119B9"/>
    <w:rsid w:val="00914144"/>
    <w:rsid w:val="00917B21"/>
    <w:rsid w:val="00917CA3"/>
    <w:rsid w:val="00922B6E"/>
    <w:rsid w:val="00925F41"/>
    <w:rsid w:val="00931781"/>
    <w:rsid w:val="00941567"/>
    <w:rsid w:val="00945CFD"/>
    <w:rsid w:val="0096197D"/>
    <w:rsid w:val="009776B7"/>
    <w:rsid w:val="009824CE"/>
    <w:rsid w:val="00982744"/>
    <w:rsid w:val="00991FA4"/>
    <w:rsid w:val="009A1E67"/>
    <w:rsid w:val="009A27B4"/>
    <w:rsid w:val="009A65F4"/>
    <w:rsid w:val="009B484E"/>
    <w:rsid w:val="009B4944"/>
    <w:rsid w:val="009B6A29"/>
    <w:rsid w:val="009C4547"/>
    <w:rsid w:val="009C55E6"/>
    <w:rsid w:val="009D099A"/>
    <w:rsid w:val="009D64F6"/>
    <w:rsid w:val="009D703D"/>
    <w:rsid w:val="009E6E09"/>
    <w:rsid w:val="009E7E75"/>
    <w:rsid w:val="009F1CD4"/>
    <w:rsid w:val="009F5FDA"/>
    <w:rsid w:val="00A029FE"/>
    <w:rsid w:val="00A03AFD"/>
    <w:rsid w:val="00A16781"/>
    <w:rsid w:val="00A26749"/>
    <w:rsid w:val="00A345D2"/>
    <w:rsid w:val="00A45471"/>
    <w:rsid w:val="00A472C6"/>
    <w:rsid w:val="00A5491E"/>
    <w:rsid w:val="00A6046B"/>
    <w:rsid w:val="00A6565B"/>
    <w:rsid w:val="00A6626D"/>
    <w:rsid w:val="00A6664E"/>
    <w:rsid w:val="00A66BC4"/>
    <w:rsid w:val="00A72ED0"/>
    <w:rsid w:val="00A817B3"/>
    <w:rsid w:val="00AA5E4C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5A3D"/>
    <w:rsid w:val="00B20C9A"/>
    <w:rsid w:val="00B2468F"/>
    <w:rsid w:val="00B269B4"/>
    <w:rsid w:val="00B30658"/>
    <w:rsid w:val="00B6215F"/>
    <w:rsid w:val="00B6242F"/>
    <w:rsid w:val="00B64EE7"/>
    <w:rsid w:val="00B66F65"/>
    <w:rsid w:val="00B73BCF"/>
    <w:rsid w:val="00B8523C"/>
    <w:rsid w:val="00B85C8C"/>
    <w:rsid w:val="00B901A1"/>
    <w:rsid w:val="00BA5023"/>
    <w:rsid w:val="00BA71D6"/>
    <w:rsid w:val="00BC4B05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5A0C"/>
    <w:rsid w:val="00C22A90"/>
    <w:rsid w:val="00C43D27"/>
    <w:rsid w:val="00C81136"/>
    <w:rsid w:val="00C92FC6"/>
    <w:rsid w:val="00CA6F49"/>
    <w:rsid w:val="00CC09D0"/>
    <w:rsid w:val="00CC6952"/>
    <w:rsid w:val="00CF41B1"/>
    <w:rsid w:val="00CF67E4"/>
    <w:rsid w:val="00D05C74"/>
    <w:rsid w:val="00D12011"/>
    <w:rsid w:val="00D15BB2"/>
    <w:rsid w:val="00D23B55"/>
    <w:rsid w:val="00D27D2B"/>
    <w:rsid w:val="00D47BC5"/>
    <w:rsid w:val="00D75A84"/>
    <w:rsid w:val="00D817E7"/>
    <w:rsid w:val="00D84103"/>
    <w:rsid w:val="00D90207"/>
    <w:rsid w:val="00D935EF"/>
    <w:rsid w:val="00DC449B"/>
    <w:rsid w:val="00DC5946"/>
    <w:rsid w:val="00DC7DC5"/>
    <w:rsid w:val="00DD4224"/>
    <w:rsid w:val="00DD63AF"/>
    <w:rsid w:val="00DE14DF"/>
    <w:rsid w:val="00E03611"/>
    <w:rsid w:val="00E1135B"/>
    <w:rsid w:val="00E12EBE"/>
    <w:rsid w:val="00E12ECD"/>
    <w:rsid w:val="00E22C6C"/>
    <w:rsid w:val="00E24D52"/>
    <w:rsid w:val="00E254A1"/>
    <w:rsid w:val="00E307A7"/>
    <w:rsid w:val="00E32BA5"/>
    <w:rsid w:val="00E45F1F"/>
    <w:rsid w:val="00E53464"/>
    <w:rsid w:val="00E54BD9"/>
    <w:rsid w:val="00E57256"/>
    <w:rsid w:val="00E7016A"/>
    <w:rsid w:val="00E72687"/>
    <w:rsid w:val="00E80FB8"/>
    <w:rsid w:val="00EA34CA"/>
    <w:rsid w:val="00EA36AA"/>
    <w:rsid w:val="00EB2F96"/>
    <w:rsid w:val="00EB4E86"/>
    <w:rsid w:val="00EC69E8"/>
    <w:rsid w:val="00EC72B1"/>
    <w:rsid w:val="00EC7F78"/>
    <w:rsid w:val="00EE7A9F"/>
    <w:rsid w:val="00EF5441"/>
    <w:rsid w:val="00F00774"/>
    <w:rsid w:val="00F16446"/>
    <w:rsid w:val="00F3661F"/>
    <w:rsid w:val="00F3670F"/>
    <w:rsid w:val="00F4463F"/>
    <w:rsid w:val="00F750B0"/>
    <w:rsid w:val="00F75ED1"/>
    <w:rsid w:val="00F80C10"/>
    <w:rsid w:val="00F810D1"/>
    <w:rsid w:val="00F92889"/>
    <w:rsid w:val="00F93BF3"/>
    <w:rsid w:val="00FA530D"/>
    <w:rsid w:val="00FB6122"/>
    <w:rsid w:val="00FC27A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7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7B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4181-68B2-4248-A0DA-C8C037DD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6940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5</cp:revision>
  <cp:lastPrinted>2026-05-08T08:59:00Z</cp:lastPrinted>
  <dcterms:created xsi:type="dcterms:W3CDTF">2026-05-08T09:15:00Z</dcterms:created>
  <dcterms:modified xsi:type="dcterms:W3CDTF">2026-05-08T13:19:00Z</dcterms:modified>
</cp:coreProperties>
</file>